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E9C9" w14:textId="77777777" w:rsidR="00E12525" w:rsidRDefault="00E12525" w:rsidP="00E12525">
      <w:pPr>
        <w:widowControl/>
        <w:jc w:val="left"/>
        <w:rPr>
          <w:rFonts w:ascii="Times New Roman" w:hAnsi="Times New Roman" w:cs="Times New Roman"/>
          <w:color w:val="000000"/>
        </w:rPr>
      </w:pPr>
      <w:r>
        <w:rPr>
          <w:rFonts w:ascii="Times New Roman" w:hAnsi="Times New Roman" w:cs="Times New Roman"/>
          <w:color w:val="000000"/>
        </w:rPr>
        <w:t>REQUEST:</w:t>
      </w:r>
    </w:p>
    <w:p w14:paraId="6C61C2B9" w14:textId="77777777" w:rsidR="00E12525" w:rsidRDefault="00AD6B7B" w:rsidP="00631632">
      <w:pPr>
        <w:widowControl/>
        <w:jc w:val="center"/>
        <w:rPr>
          <w:rFonts w:ascii="Times New Roman" w:eastAsia="宋体" w:hAnsi="Times New Roman" w:cs="Times New Roman"/>
          <w:b/>
          <w:bCs/>
          <w:color w:val="000000"/>
          <w:kern w:val="0"/>
          <w:sz w:val="24"/>
          <w:szCs w:val="24"/>
        </w:rPr>
      </w:pPr>
      <w:bookmarkStart w:id="0" w:name="OLE_LINK1"/>
      <w:bookmarkStart w:id="1" w:name="OLE_LINK2"/>
      <w:r>
        <w:rPr>
          <w:rFonts w:ascii="Times New Roman" w:hAnsi="Times New Roman" w:cs="Times New Roman"/>
          <w:color w:val="000000"/>
        </w:rPr>
        <w:t>Write an argument essay, focus on two viewpoints which is initiative and government-leading. We support initiative. Use the classical argument format (classical argument format requirements in the attachment). Use APA style and 600-700 words.</w:t>
      </w:r>
    </w:p>
    <w:bookmarkEnd w:id="0"/>
    <w:bookmarkEnd w:id="1"/>
    <w:p w14:paraId="7D7812F6"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027C6CF8"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7A6D1479"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45B75082"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24986105"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04CED5D6"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0DEE1E21"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030691FD" w14:textId="77777777" w:rsidR="00E12525" w:rsidRDefault="00E12525" w:rsidP="00631632">
      <w:pPr>
        <w:widowControl/>
        <w:jc w:val="center"/>
        <w:rPr>
          <w:rFonts w:ascii="Times New Roman" w:eastAsia="宋体" w:hAnsi="Times New Roman" w:cs="Times New Roman"/>
          <w:b/>
          <w:bCs/>
          <w:color w:val="000000"/>
          <w:kern w:val="0"/>
          <w:sz w:val="24"/>
          <w:szCs w:val="24"/>
        </w:rPr>
      </w:pPr>
      <w:bookmarkStart w:id="2" w:name="_GoBack"/>
      <w:bookmarkEnd w:id="2"/>
    </w:p>
    <w:p w14:paraId="2E1B3AA7"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65A5E4CC"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28474592"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5144B540"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53EA2F77"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5A2BD28D" w14:textId="77777777" w:rsidR="00631632" w:rsidRPr="00631632" w:rsidRDefault="00631632" w:rsidP="00631632">
      <w:pPr>
        <w:widowControl/>
        <w:jc w:val="center"/>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The Power of Practice and Community:</w:t>
      </w:r>
    </w:p>
    <w:p w14:paraId="5E3961C2" w14:textId="77777777" w:rsidR="00631632" w:rsidRPr="00631632" w:rsidRDefault="00631632" w:rsidP="00631632">
      <w:pPr>
        <w:widowControl/>
        <w:jc w:val="center"/>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A Case Study of Environmental Living in</w:t>
      </w:r>
    </w:p>
    <w:p w14:paraId="5A6836F4" w14:textId="77777777" w:rsidR="00631632" w:rsidRPr="00631632" w:rsidRDefault="00631632" w:rsidP="00631632">
      <w:pPr>
        <w:widowControl/>
        <w:jc w:val="center"/>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El Bolson, Argentina</w:t>
      </w:r>
    </w:p>
    <w:p w14:paraId="6B11028F" w14:textId="77777777" w:rsidR="00631632" w:rsidRPr="00631632" w:rsidRDefault="00631632" w:rsidP="00631632">
      <w:pPr>
        <w:widowControl/>
        <w:jc w:val="left"/>
        <w:rPr>
          <w:rFonts w:ascii="宋体" w:eastAsia="宋体" w:hAnsi="宋体" w:cs="宋体"/>
          <w:kern w:val="0"/>
          <w:sz w:val="24"/>
          <w:szCs w:val="24"/>
        </w:rPr>
      </w:pPr>
    </w:p>
    <w:p w14:paraId="069C1293" w14:textId="77777777" w:rsidR="00631632" w:rsidRPr="00631632" w:rsidRDefault="00631632" w:rsidP="00631632">
      <w:pPr>
        <w:widowControl/>
        <w:jc w:val="center"/>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 xml:space="preserve">By </w:t>
      </w:r>
      <w:proofErr w:type="spellStart"/>
      <w:r w:rsidRPr="00631632">
        <w:rPr>
          <w:rFonts w:ascii="Times New Roman" w:eastAsia="宋体" w:hAnsi="Times New Roman" w:cs="Times New Roman"/>
          <w:b/>
          <w:bCs/>
          <w:color w:val="000000"/>
          <w:kern w:val="0"/>
          <w:sz w:val="24"/>
          <w:szCs w:val="24"/>
        </w:rPr>
        <w:t>Lise</w:t>
      </w:r>
      <w:proofErr w:type="spellEnd"/>
      <w:r w:rsidRPr="00631632">
        <w:rPr>
          <w:rFonts w:ascii="Times New Roman" w:eastAsia="宋体" w:hAnsi="Times New Roman" w:cs="Times New Roman"/>
          <w:b/>
          <w:bCs/>
          <w:color w:val="000000"/>
          <w:kern w:val="0"/>
          <w:sz w:val="24"/>
          <w:szCs w:val="24"/>
        </w:rPr>
        <w:t xml:space="preserve"> </w:t>
      </w:r>
      <w:proofErr w:type="spellStart"/>
      <w:r w:rsidRPr="00631632">
        <w:rPr>
          <w:rFonts w:ascii="Times New Roman" w:eastAsia="宋体" w:hAnsi="Times New Roman" w:cs="Times New Roman"/>
          <w:b/>
          <w:bCs/>
          <w:color w:val="000000"/>
          <w:kern w:val="0"/>
          <w:sz w:val="24"/>
          <w:szCs w:val="24"/>
        </w:rPr>
        <w:t>Tjørring</w:t>
      </w:r>
      <w:proofErr w:type="spellEnd"/>
    </w:p>
    <w:p w14:paraId="2C815729" w14:textId="77777777" w:rsidR="00631632" w:rsidRPr="00631632" w:rsidRDefault="00631632" w:rsidP="00631632">
      <w:pPr>
        <w:widowControl/>
        <w:jc w:val="left"/>
        <w:rPr>
          <w:rFonts w:ascii="宋体" w:eastAsia="宋体" w:hAnsi="宋体" w:cs="宋体"/>
          <w:kern w:val="0"/>
          <w:sz w:val="24"/>
          <w:szCs w:val="24"/>
        </w:rPr>
      </w:pPr>
    </w:p>
    <w:p w14:paraId="78F99DDA" w14:textId="77777777" w:rsidR="00631632" w:rsidRPr="00631632" w:rsidRDefault="00631632" w:rsidP="00631632">
      <w:pPr>
        <w:widowControl/>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Environmental problems and the awareness thereof have increased significantly over recent decades. It is generally agreed that human activity has caused and continues to cause the most serious threat to the environment (Gore 2006, Lovelock 2006, Stern 2007). In the second half of the 20th century, private daily life consumption has increased enormously and therefore also accounts for a larger and significant part of the human impact on the environment. </w:t>
      </w:r>
    </w:p>
    <w:p w14:paraId="1B29ABDC" w14:textId="77777777" w:rsidR="00631632" w:rsidRPr="00631632" w:rsidRDefault="00631632" w:rsidP="00631632">
      <w:pPr>
        <w:widowControl/>
        <w:jc w:val="left"/>
        <w:rPr>
          <w:rFonts w:ascii="宋体" w:eastAsia="宋体" w:hAnsi="宋体" w:cs="宋体"/>
          <w:kern w:val="0"/>
          <w:sz w:val="24"/>
          <w:szCs w:val="24"/>
        </w:rPr>
      </w:pPr>
    </w:p>
    <w:p w14:paraId="28B2CD8C" w14:textId="77777777" w:rsidR="00631632" w:rsidRPr="00631632" w:rsidRDefault="00631632" w:rsidP="00631632">
      <w:pPr>
        <w:widowControl/>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To address environmental problems it is thus necessary to examine the way people live their daily lives, and </w:t>
      </w:r>
      <w:proofErr w:type="spellStart"/>
      <w:r w:rsidRPr="00631632">
        <w:rPr>
          <w:rFonts w:ascii="Times New Roman" w:eastAsia="宋体" w:hAnsi="Times New Roman" w:cs="Times New Roman"/>
          <w:color w:val="000000"/>
          <w:kern w:val="0"/>
          <w:sz w:val="24"/>
          <w:szCs w:val="24"/>
        </w:rPr>
        <w:t>analyse</w:t>
      </w:r>
      <w:proofErr w:type="spellEnd"/>
      <w:r w:rsidRPr="00631632">
        <w:rPr>
          <w:rFonts w:ascii="Times New Roman" w:eastAsia="宋体" w:hAnsi="Times New Roman" w:cs="Times New Roman"/>
          <w:color w:val="000000"/>
          <w:kern w:val="0"/>
          <w:sz w:val="24"/>
          <w:szCs w:val="24"/>
        </w:rPr>
        <w:t xml:space="preserve"> how environmentally friendly lifestyles develop (</w:t>
      </w:r>
      <w:proofErr w:type="spellStart"/>
      <w:r w:rsidRPr="00631632">
        <w:rPr>
          <w:rFonts w:ascii="Times New Roman" w:eastAsia="宋体" w:hAnsi="Times New Roman" w:cs="Times New Roman"/>
          <w:color w:val="000000"/>
          <w:kern w:val="0"/>
          <w:sz w:val="24"/>
          <w:szCs w:val="24"/>
        </w:rPr>
        <w:t>Sitarz</w:t>
      </w:r>
      <w:proofErr w:type="spellEnd"/>
      <w:r w:rsidRPr="00631632">
        <w:rPr>
          <w:rFonts w:ascii="Times New Roman" w:eastAsia="宋体" w:hAnsi="Times New Roman" w:cs="Times New Roman"/>
          <w:color w:val="000000"/>
          <w:kern w:val="0"/>
          <w:sz w:val="24"/>
          <w:szCs w:val="24"/>
        </w:rPr>
        <w:t>, 1994). Until now, most studies have focused on how to change people to engage in more environmentally friendly ways of living. The most important studies within the field concern how emotional experiences of the environment can move people to act (</w:t>
      </w:r>
      <w:proofErr w:type="spellStart"/>
      <w:r w:rsidRPr="00631632">
        <w:rPr>
          <w:rFonts w:ascii="Times New Roman" w:eastAsia="宋体" w:hAnsi="Times New Roman" w:cs="Times New Roman"/>
          <w:color w:val="000000"/>
          <w:kern w:val="0"/>
          <w:sz w:val="24"/>
          <w:szCs w:val="24"/>
        </w:rPr>
        <w:t>Barlett</w:t>
      </w:r>
      <w:proofErr w:type="spellEnd"/>
      <w:r w:rsidRPr="00631632">
        <w:rPr>
          <w:rFonts w:ascii="Times New Roman" w:eastAsia="宋体" w:hAnsi="Times New Roman" w:cs="Times New Roman"/>
          <w:color w:val="000000"/>
          <w:kern w:val="0"/>
          <w:sz w:val="24"/>
          <w:szCs w:val="24"/>
        </w:rPr>
        <w:t xml:space="preserve"> 2008, </w:t>
      </w:r>
      <w:proofErr w:type="spellStart"/>
      <w:r w:rsidRPr="00631632">
        <w:rPr>
          <w:rFonts w:ascii="Times New Roman" w:eastAsia="宋体" w:hAnsi="Times New Roman" w:cs="Times New Roman"/>
          <w:color w:val="000000"/>
          <w:kern w:val="0"/>
          <w:sz w:val="24"/>
          <w:szCs w:val="24"/>
        </w:rPr>
        <w:t>Kals</w:t>
      </w:r>
      <w:proofErr w:type="spellEnd"/>
      <w:r w:rsidRPr="00631632">
        <w:rPr>
          <w:rFonts w:ascii="Times New Roman" w:eastAsia="宋体" w:hAnsi="Times New Roman" w:cs="Times New Roman"/>
          <w:color w:val="000000"/>
          <w:kern w:val="0"/>
          <w:sz w:val="24"/>
          <w:szCs w:val="24"/>
        </w:rPr>
        <w:t xml:space="preserve"> et al. 1999, Milton 2002), the influences of community-based environmental </w:t>
      </w:r>
      <w:proofErr w:type="spellStart"/>
      <w:r w:rsidRPr="00631632">
        <w:rPr>
          <w:rFonts w:ascii="Times New Roman" w:eastAsia="宋体" w:hAnsi="Times New Roman" w:cs="Times New Roman"/>
          <w:color w:val="000000"/>
          <w:kern w:val="0"/>
          <w:sz w:val="24"/>
          <w:szCs w:val="24"/>
        </w:rPr>
        <w:t>organisations</w:t>
      </w:r>
      <w:proofErr w:type="spellEnd"/>
      <w:r w:rsidRPr="00631632">
        <w:rPr>
          <w:rFonts w:ascii="Times New Roman" w:eastAsia="宋体" w:hAnsi="Times New Roman" w:cs="Times New Roman"/>
          <w:color w:val="000000"/>
          <w:kern w:val="0"/>
          <w:sz w:val="24"/>
          <w:szCs w:val="24"/>
        </w:rPr>
        <w:t xml:space="preserve"> on people's daily lives (</w:t>
      </w:r>
      <w:proofErr w:type="spellStart"/>
      <w:r w:rsidRPr="00631632">
        <w:rPr>
          <w:rFonts w:ascii="Times New Roman" w:eastAsia="宋体" w:hAnsi="Times New Roman" w:cs="Times New Roman"/>
          <w:color w:val="000000"/>
          <w:kern w:val="0"/>
          <w:sz w:val="24"/>
          <w:szCs w:val="24"/>
        </w:rPr>
        <w:t>Middlemiss</w:t>
      </w:r>
      <w:proofErr w:type="spellEnd"/>
      <w:r w:rsidRPr="00631632">
        <w:rPr>
          <w:rFonts w:ascii="Times New Roman" w:eastAsia="宋体" w:hAnsi="Times New Roman" w:cs="Times New Roman"/>
          <w:color w:val="000000"/>
          <w:kern w:val="0"/>
          <w:sz w:val="24"/>
          <w:szCs w:val="24"/>
        </w:rPr>
        <w:t xml:space="preserve"> 2011), and how economic incentives can make people live in a more environmentally friendly manner (</w:t>
      </w:r>
      <w:proofErr w:type="spellStart"/>
      <w:r w:rsidRPr="00631632">
        <w:rPr>
          <w:rFonts w:ascii="Times New Roman" w:eastAsia="宋体" w:hAnsi="Times New Roman" w:cs="Times New Roman"/>
          <w:color w:val="000000"/>
          <w:kern w:val="0"/>
          <w:sz w:val="24"/>
          <w:szCs w:val="24"/>
        </w:rPr>
        <w:t>Bicchieri</w:t>
      </w:r>
      <w:proofErr w:type="spellEnd"/>
      <w:r w:rsidRPr="00631632">
        <w:rPr>
          <w:rFonts w:ascii="Times New Roman" w:eastAsia="宋体" w:hAnsi="Times New Roman" w:cs="Times New Roman"/>
          <w:color w:val="000000"/>
          <w:kern w:val="0"/>
          <w:sz w:val="24"/>
          <w:szCs w:val="24"/>
        </w:rPr>
        <w:t xml:space="preserve"> 1997, </w:t>
      </w:r>
      <w:proofErr w:type="spellStart"/>
      <w:r w:rsidRPr="00631632">
        <w:rPr>
          <w:rFonts w:ascii="Times New Roman" w:eastAsia="宋体" w:hAnsi="Times New Roman" w:cs="Times New Roman"/>
          <w:color w:val="000000"/>
          <w:kern w:val="0"/>
          <w:sz w:val="24"/>
          <w:szCs w:val="24"/>
        </w:rPr>
        <w:t>O’Donoghue</w:t>
      </w:r>
      <w:proofErr w:type="spellEnd"/>
      <w:r w:rsidRPr="00631632">
        <w:rPr>
          <w:rFonts w:ascii="Times New Roman" w:eastAsia="宋体" w:hAnsi="Times New Roman" w:cs="Times New Roman"/>
          <w:color w:val="000000"/>
          <w:kern w:val="0"/>
          <w:sz w:val="24"/>
          <w:szCs w:val="24"/>
        </w:rPr>
        <w:t xml:space="preserve"> et al. 1999, </w:t>
      </w:r>
      <w:proofErr w:type="spellStart"/>
      <w:r w:rsidRPr="00631632">
        <w:rPr>
          <w:rFonts w:ascii="Times New Roman" w:eastAsia="宋体" w:hAnsi="Times New Roman" w:cs="Times New Roman"/>
          <w:color w:val="000000"/>
          <w:kern w:val="0"/>
          <w:sz w:val="24"/>
          <w:szCs w:val="24"/>
        </w:rPr>
        <w:t>Bénabou</w:t>
      </w:r>
      <w:proofErr w:type="spellEnd"/>
      <w:r w:rsidRPr="00631632">
        <w:rPr>
          <w:rFonts w:ascii="Times New Roman" w:eastAsia="宋体" w:hAnsi="Times New Roman" w:cs="Times New Roman"/>
          <w:color w:val="000000"/>
          <w:kern w:val="0"/>
          <w:sz w:val="24"/>
          <w:szCs w:val="24"/>
        </w:rPr>
        <w:t xml:space="preserve"> et al. 2006). However, a focus on changing the way people live their daily lives tends to overlook the fact that people do not just react, but act and sometimes develop their own solutions to living in an environmentally friendly manner. </w:t>
      </w:r>
      <w:proofErr w:type="spellStart"/>
      <w:r w:rsidRPr="00631632">
        <w:rPr>
          <w:rFonts w:ascii="Times New Roman" w:eastAsia="宋体" w:hAnsi="Times New Roman" w:cs="Times New Roman"/>
          <w:color w:val="000000"/>
          <w:kern w:val="0"/>
          <w:sz w:val="24"/>
          <w:szCs w:val="24"/>
        </w:rPr>
        <w:t>Fairhead</w:t>
      </w:r>
      <w:proofErr w:type="spellEnd"/>
      <w:r w:rsidRPr="00631632">
        <w:rPr>
          <w:rFonts w:ascii="Times New Roman" w:eastAsia="宋体" w:hAnsi="Times New Roman" w:cs="Times New Roman"/>
          <w:color w:val="000000"/>
          <w:kern w:val="0"/>
          <w:sz w:val="24"/>
          <w:szCs w:val="24"/>
        </w:rPr>
        <w:t xml:space="preserve"> and Leach (1996) point out that there is a tendency to misunderstand cultural examples of environmental living especially in non-western contexts, when in fact these examples are highly valuable and could serve as </w:t>
      </w:r>
      <w:r w:rsidRPr="00631632">
        <w:rPr>
          <w:rFonts w:ascii="Times New Roman" w:eastAsia="宋体" w:hAnsi="Times New Roman" w:cs="Times New Roman"/>
          <w:color w:val="000000"/>
          <w:kern w:val="0"/>
          <w:sz w:val="24"/>
          <w:szCs w:val="24"/>
        </w:rPr>
        <w:lastRenderedPageBreak/>
        <w:t xml:space="preserve">inspiration for developing environmentally friendly lifestyles elsewhere. For this reason, I will examine the case of El Bolson in Argentina, which is a town known throughout Latin America for an unusually high percentage of people living in environmentally friendly ways. </w:t>
      </w:r>
    </w:p>
    <w:p w14:paraId="6E84374B" w14:textId="77777777" w:rsidR="00631632" w:rsidRPr="00631632" w:rsidRDefault="00631632" w:rsidP="00631632">
      <w:pPr>
        <w:widowControl/>
        <w:jc w:val="left"/>
        <w:rPr>
          <w:rFonts w:ascii="宋体" w:eastAsia="宋体" w:hAnsi="宋体" w:cs="宋体"/>
          <w:kern w:val="0"/>
          <w:sz w:val="24"/>
          <w:szCs w:val="24"/>
        </w:rPr>
      </w:pPr>
    </w:p>
    <w:p w14:paraId="614A245E" w14:textId="77777777" w:rsidR="00631632" w:rsidRPr="00631632" w:rsidRDefault="00631632" w:rsidP="00631632">
      <w:pPr>
        <w:widowControl/>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El Bolson constitutes an interesting example of environmentally friendly living for several reasons. Firstly, it is situated in a part of the world which has previously not received much attention with regard to environmental issues, despite being pioneer in environmental living. Secondly, the lives of the environmentalist inhabitants (understood as those who try to live in an environmentally friendly way) are substantially different from environmentally friendly living in Western Europe and the US, a fact which may suggest new solutions to an old problem. Thirdly, it poses an example of citizen driven environmental action since it developed as a local initiative rather than through government intervention. Thus the aim of this paper is to investigate environmental living in El Bolson with a particular focus on the key factors that explain its success. To this end, I present the history, the people, the citizen driven approach to environmentally friendly living, and the daily activities of the environmentalists. I then argue that daily practices and communal activities are key factors in explaining the success of El Bolson as an environmental project.</w:t>
      </w:r>
    </w:p>
    <w:p w14:paraId="7462082E" w14:textId="77777777" w:rsidR="00631632" w:rsidRPr="00631632" w:rsidRDefault="00631632" w:rsidP="00631632">
      <w:pPr>
        <w:widowControl/>
        <w:jc w:val="left"/>
        <w:rPr>
          <w:rFonts w:ascii="宋体" w:eastAsia="宋体" w:hAnsi="宋体" w:cs="宋体"/>
          <w:kern w:val="0"/>
          <w:sz w:val="24"/>
          <w:szCs w:val="24"/>
        </w:rPr>
      </w:pPr>
    </w:p>
    <w:p w14:paraId="6FE0CB56"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Environmentalism in El Bolson relies on two factors: Practice and community. Firstly, adopting an environmentally friendly style of living is a dynamic process embedded in practice. It is through practice that people form a meaningful relationship with the environment and strengthen their sense of care for the environment. It is also through practice that people develop the skills needed to perform their environmentalism, as people do not automatically know how to live in environmentally friendly ways, but learn by doing. Secondly, the environmentalists are unified by a collective attempt to develop their environmentally friendly lives, and their environmentally friendly way of living develops as an integral part of the communal exchange system. The community has a powerful effect because people entering the community are drawn into an upward spiral, where they inspire, help and commit themselves to each other to develop their environmentally friendly way of living. In this way being a social person automatically involves being an environmentally friendly person. Thus, practice and community are two decisive driving forces of the environmental living in El Bolson.</w:t>
      </w:r>
    </w:p>
    <w:p w14:paraId="1DE5A18C" w14:textId="77777777" w:rsidR="00631632" w:rsidRPr="00631632" w:rsidRDefault="00631632" w:rsidP="00631632">
      <w:pPr>
        <w:widowControl/>
        <w:jc w:val="left"/>
        <w:rPr>
          <w:rFonts w:ascii="宋体" w:eastAsia="宋体" w:hAnsi="宋体" w:cs="宋体"/>
          <w:kern w:val="0"/>
          <w:sz w:val="24"/>
          <w:szCs w:val="24"/>
        </w:rPr>
      </w:pPr>
    </w:p>
    <w:p w14:paraId="0D7342B7"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Reciprocal exchange systems are not just a case of material goods getting exchanged; they are also a matter of people building up social relationships with each other through the exchange, and thus exchanging goods is the glue of society (</w:t>
      </w:r>
      <w:proofErr w:type="spellStart"/>
      <w:r w:rsidRPr="00631632">
        <w:rPr>
          <w:rFonts w:ascii="Times New Roman" w:eastAsia="宋体" w:hAnsi="Times New Roman" w:cs="Times New Roman"/>
          <w:color w:val="000000"/>
          <w:kern w:val="0"/>
          <w:sz w:val="24"/>
          <w:szCs w:val="24"/>
        </w:rPr>
        <w:t>Mauss</w:t>
      </w:r>
      <w:proofErr w:type="spellEnd"/>
      <w:r w:rsidRPr="00631632">
        <w:rPr>
          <w:rFonts w:ascii="Times New Roman" w:eastAsia="宋体" w:hAnsi="Times New Roman" w:cs="Times New Roman"/>
          <w:color w:val="000000"/>
          <w:kern w:val="0"/>
          <w:sz w:val="24"/>
          <w:szCs w:val="24"/>
        </w:rPr>
        <w:t xml:space="preserve"> 1990, p. 4). The exchange also strongly supports people in carrying out their environmentally friendly living and even strengthens it. The so-called “</w:t>
      </w:r>
      <w:proofErr w:type="spellStart"/>
      <w:r w:rsidRPr="00631632">
        <w:rPr>
          <w:rFonts w:ascii="Times New Roman" w:eastAsia="宋体" w:hAnsi="Times New Roman" w:cs="Times New Roman"/>
          <w:color w:val="000000"/>
          <w:kern w:val="0"/>
          <w:sz w:val="24"/>
          <w:szCs w:val="24"/>
        </w:rPr>
        <w:t>trueque</w:t>
      </w:r>
      <w:proofErr w:type="spellEnd"/>
      <w:r w:rsidRPr="00631632">
        <w:rPr>
          <w:rFonts w:ascii="Times New Roman" w:eastAsia="宋体" w:hAnsi="Times New Roman" w:cs="Times New Roman"/>
          <w:color w:val="000000"/>
          <w:kern w:val="0"/>
          <w:sz w:val="24"/>
          <w:szCs w:val="24"/>
        </w:rPr>
        <w:t xml:space="preserve">” system makes it possible to avoid buying new things and facilitate people helping each other and benefitting from each other’s skills. Furthermore they become </w:t>
      </w:r>
      <w:r w:rsidRPr="00631632">
        <w:rPr>
          <w:rFonts w:ascii="Times New Roman" w:eastAsia="宋体" w:hAnsi="Times New Roman" w:cs="Times New Roman"/>
          <w:color w:val="000000"/>
          <w:kern w:val="0"/>
          <w:sz w:val="24"/>
          <w:szCs w:val="24"/>
        </w:rPr>
        <w:lastRenderedPageBreak/>
        <w:t xml:space="preserve">dependent on each other: If a group of people help one day, the person receiving the help feels an obligation to help the other people when it is their turn. </w:t>
      </w:r>
    </w:p>
    <w:p w14:paraId="19D32B91" w14:textId="77777777" w:rsidR="00631632" w:rsidRPr="00631632" w:rsidRDefault="00631632" w:rsidP="00631632">
      <w:pPr>
        <w:widowControl/>
        <w:jc w:val="left"/>
        <w:rPr>
          <w:rFonts w:ascii="宋体" w:eastAsia="宋体" w:hAnsi="宋体" w:cs="宋体"/>
          <w:kern w:val="0"/>
          <w:sz w:val="24"/>
          <w:szCs w:val="24"/>
        </w:rPr>
      </w:pPr>
    </w:p>
    <w:p w14:paraId="553B1F48"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This leads to a mutual interdependence between giver and receiver, which means that</w:t>
      </w:r>
    </w:p>
    <w:p w14:paraId="582C038B"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although exchanges in theory are voluntary, they are de facto mandatory (</w:t>
      </w:r>
      <w:proofErr w:type="spellStart"/>
      <w:r w:rsidRPr="00631632">
        <w:rPr>
          <w:rFonts w:ascii="Times New Roman" w:eastAsia="宋体" w:hAnsi="Times New Roman" w:cs="Times New Roman"/>
          <w:color w:val="000000"/>
          <w:kern w:val="0"/>
          <w:sz w:val="24"/>
          <w:szCs w:val="24"/>
        </w:rPr>
        <w:t>Mauss</w:t>
      </w:r>
      <w:proofErr w:type="spellEnd"/>
      <w:r w:rsidRPr="00631632">
        <w:rPr>
          <w:rFonts w:ascii="Times New Roman" w:eastAsia="宋体" w:hAnsi="Times New Roman" w:cs="Times New Roman"/>
          <w:color w:val="000000"/>
          <w:kern w:val="0"/>
          <w:sz w:val="24"/>
          <w:szCs w:val="24"/>
        </w:rPr>
        <w:t xml:space="preserve"> 1990, p. 3). It also encourages some people to live in more environmentally friendly ways than they perhaps originally planned to: Although the environmentalists of El Bolson have certain similarities, they nevertheless practice different levels of engagement. By entering into the exchange system of the </w:t>
      </w:r>
      <w:proofErr w:type="spellStart"/>
      <w:r w:rsidRPr="00631632">
        <w:rPr>
          <w:rFonts w:ascii="Times New Roman" w:eastAsia="宋体" w:hAnsi="Times New Roman" w:cs="Times New Roman"/>
          <w:color w:val="000000"/>
          <w:kern w:val="0"/>
          <w:sz w:val="24"/>
          <w:szCs w:val="24"/>
        </w:rPr>
        <w:t>trueque</w:t>
      </w:r>
      <w:proofErr w:type="spellEnd"/>
      <w:r w:rsidRPr="00631632">
        <w:rPr>
          <w:rFonts w:ascii="Times New Roman" w:eastAsia="宋体" w:hAnsi="Times New Roman" w:cs="Times New Roman"/>
          <w:color w:val="000000"/>
          <w:kern w:val="0"/>
          <w:sz w:val="24"/>
          <w:szCs w:val="24"/>
        </w:rPr>
        <w:t>, they become woven into a network, where the level of engagement is very high, and because they are dependent on each other and feel an obligation to return what they receive, it also raises the level of activity to a high common denominator. The boundary between being part of the community and living in an environmentally friendly way can be said to be dissolved in this way. In fact, some people in El Bolson develop their environmentally friendly living more because they are part of the community than due to an actual intention to do so. The importance of the community for living in environmentally friendly ways has been observed in other environmental projects (</w:t>
      </w:r>
      <w:proofErr w:type="spellStart"/>
      <w:r w:rsidRPr="00631632">
        <w:rPr>
          <w:rFonts w:ascii="Times New Roman" w:eastAsia="宋体" w:hAnsi="Times New Roman" w:cs="Times New Roman"/>
          <w:color w:val="000000"/>
          <w:kern w:val="0"/>
          <w:sz w:val="24"/>
          <w:szCs w:val="24"/>
        </w:rPr>
        <w:t>Kals</w:t>
      </w:r>
      <w:proofErr w:type="spellEnd"/>
      <w:r w:rsidRPr="00631632">
        <w:rPr>
          <w:rFonts w:ascii="Times New Roman" w:eastAsia="宋体" w:hAnsi="Times New Roman" w:cs="Times New Roman"/>
          <w:color w:val="000000"/>
          <w:kern w:val="0"/>
          <w:sz w:val="24"/>
          <w:szCs w:val="24"/>
        </w:rPr>
        <w:t xml:space="preserve"> 1999, </w:t>
      </w:r>
      <w:proofErr w:type="spellStart"/>
      <w:r w:rsidRPr="00631632">
        <w:rPr>
          <w:rFonts w:ascii="Times New Roman" w:eastAsia="宋体" w:hAnsi="Times New Roman" w:cs="Times New Roman"/>
          <w:color w:val="000000"/>
          <w:kern w:val="0"/>
          <w:sz w:val="24"/>
          <w:szCs w:val="24"/>
        </w:rPr>
        <w:t>Middlemiss</w:t>
      </w:r>
      <w:proofErr w:type="spellEnd"/>
      <w:r w:rsidRPr="00631632">
        <w:rPr>
          <w:rFonts w:ascii="Times New Roman" w:eastAsia="宋体" w:hAnsi="Times New Roman" w:cs="Times New Roman"/>
          <w:color w:val="000000"/>
          <w:kern w:val="0"/>
          <w:sz w:val="24"/>
          <w:szCs w:val="24"/>
        </w:rPr>
        <w:t xml:space="preserve"> 2011).</w:t>
      </w:r>
    </w:p>
    <w:p w14:paraId="2B90C509" w14:textId="77777777" w:rsidR="00631632" w:rsidRPr="00631632" w:rsidRDefault="00631632" w:rsidP="00631632">
      <w:pPr>
        <w:widowControl/>
        <w:jc w:val="left"/>
        <w:rPr>
          <w:rFonts w:ascii="宋体" w:eastAsia="宋体" w:hAnsi="宋体" w:cs="宋体"/>
          <w:kern w:val="0"/>
          <w:sz w:val="24"/>
          <w:szCs w:val="24"/>
        </w:rPr>
      </w:pPr>
    </w:p>
    <w:p w14:paraId="6BE3C66E"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In addition to the reciprocal exchange system embedded in the social context of the </w:t>
      </w:r>
      <w:proofErr w:type="spellStart"/>
      <w:r w:rsidRPr="00631632">
        <w:rPr>
          <w:rFonts w:ascii="Times New Roman" w:eastAsia="宋体" w:hAnsi="Times New Roman" w:cs="Times New Roman"/>
          <w:color w:val="000000"/>
          <w:kern w:val="0"/>
          <w:sz w:val="24"/>
          <w:szCs w:val="24"/>
        </w:rPr>
        <w:t>trueque</w:t>
      </w:r>
      <w:proofErr w:type="spellEnd"/>
      <w:r w:rsidRPr="00631632">
        <w:rPr>
          <w:rFonts w:ascii="Times New Roman" w:eastAsia="宋体" w:hAnsi="Times New Roman" w:cs="Times New Roman"/>
          <w:color w:val="000000"/>
          <w:kern w:val="0"/>
          <w:sz w:val="24"/>
          <w:szCs w:val="24"/>
        </w:rPr>
        <w:t xml:space="preserve">, there is also the shared idea of people being together because of their communal interest. Environmental </w:t>
      </w:r>
      <w:proofErr w:type="spellStart"/>
      <w:r w:rsidRPr="00631632">
        <w:rPr>
          <w:rFonts w:ascii="Times New Roman" w:eastAsia="宋体" w:hAnsi="Times New Roman" w:cs="Times New Roman"/>
          <w:color w:val="000000"/>
          <w:kern w:val="0"/>
          <w:sz w:val="24"/>
          <w:szCs w:val="24"/>
        </w:rPr>
        <w:t>behaviour</w:t>
      </w:r>
      <w:proofErr w:type="spellEnd"/>
      <w:r w:rsidRPr="00631632">
        <w:rPr>
          <w:rFonts w:ascii="Times New Roman" w:eastAsia="宋体" w:hAnsi="Times New Roman" w:cs="Times New Roman"/>
          <w:color w:val="000000"/>
          <w:kern w:val="0"/>
          <w:sz w:val="24"/>
          <w:szCs w:val="24"/>
        </w:rPr>
        <w:t xml:space="preserve"> is often explained on the basis of rational choice theory that presents </w:t>
      </w:r>
      <w:proofErr w:type="spellStart"/>
      <w:r w:rsidRPr="00631632">
        <w:rPr>
          <w:rFonts w:ascii="Times New Roman" w:eastAsia="宋体" w:hAnsi="Times New Roman" w:cs="Times New Roman"/>
          <w:color w:val="000000"/>
          <w:kern w:val="0"/>
          <w:sz w:val="24"/>
          <w:szCs w:val="24"/>
        </w:rPr>
        <w:t>behaviour</w:t>
      </w:r>
      <w:proofErr w:type="spellEnd"/>
      <w:r w:rsidRPr="00631632">
        <w:rPr>
          <w:rFonts w:ascii="Times New Roman" w:eastAsia="宋体" w:hAnsi="Times New Roman" w:cs="Times New Roman"/>
          <w:color w:val="000000"/>
          <w:kern w:val="0"/>
          <w:sz w:val="24"/>
          <w:szCs w:val="24"/>
        </w:rPr>
        <w:t xml:space="preserve"> as a result of people's knowledge and attitudes. According to this theory, it is knowledge, economic advantage and rational choices that determine individual </w:t>
      </w:r>
      <w:proofErr w:type="spellStart"/>
      <w:r w:rsidRPr="00631632">
        <w:rPr>
          <w:rFonts w:ascii="Times New Roman" w:eastAsia="宋体" w:hAnsi="Times New Roman" w:cs="Times New Roman"/>
          <w:color w:val="000000"/>
          <w:kern w:val="0"/>
          <w:sz w:val="24"/>
          <w:szCs w:val="24"/>
        </w:rPr>
        <w:t>behaviour</w:t>
      </w:r>
      <w:proofErr w:type="spellEnd"/>
      <w:r w:rsidRPr="00631632">
        <w:rPr>
          <w:rFonts w:ascii="Times New Roman" w:eastAsia="宋体" w:hAnsi="Times New Roman" w:cs="Times New Roman"/>
          <w:color w:val="000000"/>
          <w:kern w:val="0"/>
          <w:sz w:val="24"/>
          <w:szCs w:val="24"/>
        </w:rPr>
        <w:t xml:space="preserve"> (</w:t>
      </w:r>
      <w:proofErr w:type="spellStart"/>
      <w:r w:rsidRPr="00631632">
        <w:rPr>
          <w:rFonts w:ascii="Times New Roman" w:eastAsia="宋体" w:hAnsi="Times New Roman" w:cs="Times New Roman"/>
          <w:color w:val="000000"/>
          <w:kern w:val="0"/>
          <w:sz w:val="24"/>
          <w:szCs w:val="24"/>
        </w:rPr>
        <w:t>Bicchieri</w:t>
      </w:r>
      <w:proofErr w:type="spellEnd"/>
      <w:r w:rsidRPr="00631632">
        <w:rPr>
          <w:rFonts w:ascii="Times New Roman" w:eastAsia="宋体" w:hAnsi="Times New Roman" w:cs="Times New Roman"/>
          <w:color w:val="000000"/>
          <w:kern w:val="0"/>
          <w:sz w:val="24"/>
          <w:szCs w:val="24"/>
        </w:rPr>
        <w:t xml:space="preserve"> 1997). The present study of El Bolson, on the other hand, suggests that promoting environmental </w:t>
      </w:r>
      <w:proofErr w:type="spellStart"/>
      <w:r w:rsidRPr="00631632">
        <w:rPr>
          <w:rFonts w:ascii="Times New Roman" w:eastAsia="宋体" w:hAnsi="Times New Roman" w:cs="Times New Roman"/>
          <w:color w:val="000000"/>
          <w:kern w:val="0"/>
          <w:sz w:val="24"/>
          <w:szCs w:val="24"/>
        </w:rPr>
        <w:t>behaviour</w:t>
      </w:r>
      <w:proofErr w:type="spellEnd"/>
      <w:r w:rsidRPr="00631632">
        <w:rPr>
          <w:rFonts w:ascii="Times New Roman" w:eastAsia="宋体" w:hAnsi="Times New Roman" w:cs="Times New Roman"/>
          <w:color w:val="000000"/>
          <w:kern w:val="0"/>
          <w:sz w:val="24"/>
          <w:szCs w:val="24"/>
        </w:rPr>
        <w:t xml:space="preserve"> does not come from changing people's attitudes, but from bringing people to engage practically and communally in environmental ways of living. People do not come to El Bolson out of economic or for rational grounds, but they do so to experience environmentalism in practice and be part of an environmentalist community, and what is just as important is that because they practice environmentalism and are part of the community their environmentally friendly living develops. In this way, El Bolson can serve as a source of inspiration for promoting environmentally friendly living and strengthen citizen driven projects elsewhere. We need to develop practices and new social dynamics that engage people directly in environmentally friendly living.</w:t>
      </w:r>
    </w:p>
    <w:p w14:paraId="1C4053D6" w14:textId="77777777" w:rsidR="00631632" w:rsidRPr="00631632" w:rsidRDefault="00631632" w:rsidP="00631632">
      <w:pPr>
        <w:widowControl/>
        <w:jc w:val="left"/>
        <w:rPr>
          <w:rFonts w:ascii="宋体" w:eastAsia="宋体" w:hAnsi="宋体" w:cs="宋体"/>
          <w:kern w:val="0"/>
          <w:sz w:val="24"/>
          <w:szCs w:val="24"/>
        </w:rPr>
      </w:pPr>
    </w:p>
    <w:p w14:paraId="6ADD058B"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b/>
          <w:bCs/>
          <w:i/>
          <w:iCs/>
          <w:color w:val="000000"/>
          <w:kern w:val="0"/>
          <w:sz w:val="24"/>
          <w:szCs w:val="24"/>
        </w:rPr>
        <w:t xml:space="preserve">Adapted from: </w:t>
      </w:r>
      <w:proofErr w:type="spellStart"/>
      <w:r w:rsidRPr="00631632">
        <w:rPr>
          <w:rFonts w:ascii="Times New Roman" w:eastAsia="宋体" w:hAnsi="Times New Roman" w:cs="Times New Roman"/>
          <w:b/>
          <w:bCs/>
          <w:color w:val="000000"/>
          <w:kern w:val="0"/>
          <w:sz w:val="24"/>
          <w:szCs w:val="24"/>
        </w:rPr>
        <w:t>Tjørring</w:t>
      </w:r>
      <w:proofErr w:type="spellEnd"/>
      <w:r w:rsidRPr="00631632">
        <w:rPr>
          <w:rFonts w:ascii="Times New Roman" w:eastAsia="宋体" w:hAnsi="Times New Roman" w:cs="Times New Roman"/>
          <w:b/>
          <w:bCs/>
          <w:color w:val="000000"/>
          <w:kern w:val="0"/>
          <w:sz w:val="24"/>
          <w:szCs w:val="24"/>
        </w:rPr>
        <w:t>, L. (2013). The Power of Practice and Community: A Case Study of Environmental Living in El Bolson, Argentina</w:t>
      </w:r>
      <w:r w:rsidRPr="00631632">
        <w:rPr>
          <w:rFonts w:ascii="Times New Roman" w:eastAsia="宋体" w:hAnsi="Times New Roman" w:cs="Times New Roman"/>
          <w:b/>
          <w:bCs/>
          <w:i/>
          <w:iCs/>
          <w:color w:val="000000"/>
          <w:kern w:val="0"/>
          <w:sz w:val="24"/>
          <w:szCs w:val="24"/>
        </w:rPr>
        <w:t>. Journal of Transdisciplinary Environmental Studies 12</w:t>
      </w:r>
      <w:r w:rsidRPr="00631632">
        <w:rPr>
          <w:rFonts w:ascii="Times New Roman" w:eastAsia="宋体" w:hAnsi="Times New Roman" w:cs="Times New Roman"/>
          <w:b/>
          <w:bCs/>
          <w:color w:val="000000"/>
          <w:kern w:val="0"/>
          <w:sz w:val="24"/>
          <w:szCs w:val="24"/>
        </w:rPr>
        <w:t>(1), 41-53.</w:t>
      </w:r>
      <w:r w:rsidRPr="00631632">
        <w:rPr>
          <w:rFonts w:ascii="Times New Roman" w:eastAsia="宋体" w:hAnsi="Times New Roman" w:cs="Times New Roman"/>
          <w:b/>
          <w:bCs/>
          <w:i/>
          <w:iCs/>
          <w:color w:val="000000"/>
          <w:kern w:val="0"/>
          <w:sz w:val="24"/>
          <w:szCs w:val="24"/>
        </w:rPr>
        <w:t xml:space="preserve"> </w:t>
      </w:r>
    </w:p>
    <w:p w14:paraId="3C2A864E" w14:textId="77777777" w:rsidR="00631632" w:rsidRPr="00631632" w:rsidRDefault="00631632" w:rsidP="00631632">
      <w:pPr>
        <w:widowControl/>
        <w:spacing w:after="240"/>
        <w:jc w:val="left"/>
        <w:rPr>
          <w:rFonts w:ascii="宋体" w:eastAsia="宋体" w:hAnsi="宋体" w:cs="宋体"/>
          <w:kern w:val="0"/>
          <w:sz w:val="24"/>
          <w:szCs w:val="24"/>
        </w:rPr>
      </w:pPr>
    </w:p>
    <w:p w14:paraId="466F2BE3"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31F37D3B" w14:textId="77777777" w:rsidR="00E12525" w:rsidRDefault="00E12525" w:rsidP="00631632">
      <w:pPr>
        <w:widowControl/>
        <w:jc w:val="center"/>
        <w:rPr>
          <w:rFonts w:ascii="Times New Roman" w:eastAsia="宋体" w:hAnsi="Times New Roman" w:cs="Times New Roman"/>
          <w:b/>
          <w:bCs/>
          <w:color w:val="000000"/>
          <w:kern w:val="0"/>
          <w:sz w:val="24"/>
          <w:szCs w:val="24"/>
        </w:rPr>
      </w:pPr>
    </w:p>
    <w:p w14:paraId="65180B23" w14:textId="77777777" w:rsidR="00631632" w:rsidRPr="00631632" w:rsidRDefault="00631632" w:rsidP="00631632">
      <w:pPr>
        <w:widowControl/>
        <w:jc w:val="center"/>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Text 2</w:t>
      </w:r>
    </w:p>
    <w:p w14:paraId="66701B39" w14:textId="77777777" w:rsidR="00631632" w:rsidRPr="00631632" w:rsidRDefault="00631632" w:rsidP="00631632">
      <w:pPr>
        <w:widowControl/>
        <w:jc w:val="left"/>
        <w:rPr>
          <w:rFonts w:ascii="宋体" w:eastAsia="宋体" w:hAnsi="宋体" w:cs="宋体"/>
          <w:kern w:val="0"/>
          <w:sz w:val="24"/>
          <w:szCs w:val="24"/>
        </w:rPr>
      </w:pPr>
    </w:p>
    <w:p w14:paraId="75D14DEB"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b/>
          <w:bCs/>
          <w:color w:val="000000"/>
          <w:kern w:val="0"/>
          <w:sz w:val="24"/>
          <w:szCs w:val="24"/>
        </w:rPr>
        <w:t>Ruling Paves Way for `Green' Seaton</w:t>
      </w:r>
    </w:p>
    <w:p w14:paraId="79A72601" w14:textId="77777777" w:rsidR="00631632" w:rsidRPr="00631632" w:rsidRDefault="00631632" w:rsidP="00631632">
      <w:pPr>
        <w:widowControl/>
        <w:jc w:val="left"/>
        <w:rPr>
          <w:rFonts w:ascii="宋体" w:eastAsia="宋体" w:hAnsi="宋体" w:cs="宋体"/>
          <w:kern w:val="0"/>
          <w:sz w:val="24"/>
          <w:szCs w:val="24"/>
        </w:rPr>
      </w:pPr>
    </w:p>
    <w:p w14:paraId="1C69FB76" w14:textId="77777777" w:rsidR="00631632" w:rsidRPr="00631632" w:rsidRDefault="00631632" w:rsidP="00631632">
      <w:pPr>
        <w:widowControl/>
        <w:jc w:val="center"/>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 xml:space="preserve">By </w:t>
      </w:r>
      <w:proofErr w:type="spellStart"/>
      <w:r w:rsidRPr="00631632">
        <w:rPr>
          <w:rFonts w:ascii="Times New Roman" w:eastAsia="宋体" w:hAnsi="Times New Roman" w:cs="Times New Roman"/>
          <w:b/>
          <w:bCs/>
          <w:color w:val="000000"/>
          <w:kern w:val="0"/>
          <w:sz w:val="24"/>
          <w:szCs w:val="24"/>
        </w:rPr>
        <w:t>Phinjo</w:t>
      </w:r>
      <w:proofErr w:type="spellEnd"/>
      <w:r w:rsidRPr="00631632">
        <w:rPr>
          <w:rFonts w:ascii="Times New Roman" w:eastAsia="宋体" w:hAnsi="Times New Roman" w:cs="Times New Roman"/>
          <w:b/>
          <w:bCs/>
          <w:color w:val="000000"/>
          <w:kern w:val="0"/>
          <w:sz w:val="24"/>
          <w:szCs w:val="24"/>
        </w:rPr>
        <w:t xml:space="preserve"> </w:t>
      </w:r>
      <w:proofErr w:type="spellStart"/>
      <w:r w:rsidRPr="00631632">
        <w:rPr>
          <w:rFonts w:ascii="Times New Roman" w:eastAsia="宋体" w:hAnsi="Times New Roman" w:cs="Times New Roman"/>
          <w:b/>
          <w:bCs/>
          <w:color w:val="000000"/>
          <w:kern w:val="0"/>
          <w:sz w:val="24"/>
          <w:szCs w:val="24"/>
        </w:rPr>
        <w:t>Gombu</w:t>
      </w:r>
      <w:proofErr w:type="spellEnd"/>
      <w:r w:rsidRPr="00631632">
        <w:rPr>
          <w:rFonts w:ascii="Times New Roman" w:eastAsia="宋体" w:hAnsi="Times New Roman" w:cs="Times New Roman"/>
          <w:color w:val="000000"/>
          <w:kern w:val="0"/>
          <w:sz w:val="24"/>
          <w:szCs w:val="24"/>
        </w:rPr>
        <w:tab/>
      </w:r>
    </w:p>
    <w:p w14:paraId="28E0A487"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color w:val="000000"/>
          <w:kern w:val="0"/>
          <w:sz w:val="24"/>
          <w:szCs w:val="24"/>
        </w:rPr>
        <w:tab/>
      </w:r>
    </w:p>
    <w:p w14:paraId="4D148D88"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color w:val="000000"/>
          <w:kern w:val="0"/>
          <w:sz w:val="24"/>
          <w:szCs w:val="24"/>
        </w:rPr>
        <w:tab/>
      </w:r>
    </w:p>
    <w:p w14:paraId="288686FB"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Canada's top court has cleared the way for the province to build Ontario's largest environmentally friendly community for 70,000 people in north Pickering. The Supreme Court of Canada ruled yesterday it would not grant developer Silvio De </w:t>
      </w:r>
      <w:proofErr w:type="spellStart"/>
      <w:r w:rsidRPr="00631632">
        <w:rPr>
          <w:rFonts w:ascii="Times New Roman" w:eastAsia="宋体" w:hAnsi="Times New Roman" w:cs="Times New Roman"/>
          <w:color w:val="000000"/>
          <w:kern w:val="0"/>
          <w:sz w:val="24"/>
          <w:szCs w:val="24"/>
        </w:rPr>
        <w:t>Gasperis</w:t>
      </w:r>
      <w:proofErr w:type="spellEnd"/>
      <w:r w:rsidRPr="00631632">
        <w:rPr>
          <w:rFonts w:ascii="Times New Roman" w:eastAsia="宋体" w:hAnsi="Times New Roman" w:cs="Times New Roman"/>
          <w:color w:val="000000"/>
          <w:kern w:val="0"/>
          <w:sz w:val="24"/>
          <w:szCs w:val="24"/>
        </w:rPr>
        <w:t xml:space="preserve"> leave to appeal a lower court decision that rejected his argument that planning for Seaton was flawed and done without adequate consultation.</w:t>
      </w:r>
    </w:p>
    <w:p w14:paraId="4BF5063A" w14:textId="77777777" w:rsidR="00631632" w:rsidRPr="00631632" w:rsidRDefault="00631632" w:rsidP="00631632">
      <w:pPr>
        <w:widowControl/>
        <w:jc w:val="left"/>
        <w:rPr>
          <w:rFonts w:ascii="宋体" w:eastAsia="宋体" w:hAnsi="宋体" w:cs="宋体"/>
          <w:kern w:val="0"/>
          <w:sz w:val="24"/>
          <w:szCs w:val="24"/>
        </w:rPr>
      </w:pPr>
    </w:p>
    <w:p w14:paraId="11FCBE02"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"This plan has become law and it clearly sets a strong direction for the community of Seaton," said Bruce </w:t>
      </w:r>
      <w:proofErr w:type="spellStart"/>
      <w:r w:rsidRPr="00631632">
        <w:rPr>
          <w:rFonts w:ascii="Times New Roman" w:eastAsia="宋体" w:hAnsi="Times New Roman" w:cs="Times New Roman"/>
          <w:color w:val="000000"/>
          <w:kern w:val="0"/>
          <w:sz w:val="24"/>
          <w:szCs w:val="24"/>
        </w:rPr>
        <w:t>Singbush</w:t>
      </w:r>
      <w:proofErr w:type="spellEnd"/>
      <w:r w:rsidRPr="00631632">
        <w:rPr>
          <w:rFonts w:ascii="Times New Roman" w:eastAsia="宋体" w:hAnsi="Times New Roman" w:cs="Times New Roman"/>
          <w:color w:val="000000"/>
          <w:kern w:val="0"/>
          <w:sz w:val="24"/>
          <w:szCs w:val="24"/>
        </w:rPr>
        <w:t>, a senior official with the Ministry of Municipal Affairs and Housing.</w:t>
      </w:r>
    </w:p>
    <w:p w14:paraId="28120B86"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"It means the plans for the community of Seaton are final," he said yesterday, pointing out that – if municipal planning decisions move ahead on time – shovels could hit the ground within five years.</w:t>
      </w:r>
    </w:p>
    <w:p w14:paraId="5750E161" w14:textId="77777777" w:rsidR="00631632" w:rsidRPr="00631632" w:rsidRDefault="00631632" w:rsidP="00631632">
      <w:pPr>
        <w:widowControl/>
        <w:jc w:val="left"/>
        <w:rPr>
          <w:rFonts w:ascii="宋体" w:eastAsia="宋体" w:hAnsi="宋体" w:cs="宋体"/>
          <w:kern w:val="0"/>
          <w:sz w:val="24"/>
          <w:szCs w:val="24"/>
        </w:rPr>
      </w:pPr>
    </w:p>
    <w:p w14:paraId="54E32DF0"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The ruling allows for the real work to begin – planning for what environmentalists and government officials promise will be Canada's largest, most complex and significant eco-friendly community, built on 55 per cent of a 6,000-hectare land parcel east of West </w:t>
      </w:r>
      <w:proofErr w:type="spellStart"/>
      <w:r w:rsidRPr="00631632">
        <w:rPr>
          <w:rFonts w:ascii="Times New Roman" w:eastAsia="宋体" w:hAnsi="Times New Roman" w:cs="Times New Roman"/>
          <w:color w:val="000000"/>
          <w:kern w:val="0"/>
          <w:sz w:val="24"/>
          <w:szCs w:val="24"/>
        </w:rPr>
        <w:t>Duffins</w:t>
      </w:r>
      <w:proofErr w:type="spellEnd"/>
      <w:r w:rsidRPr="00631632">
        <w:rPr>
          <w:rFonts w:ascii="Times New Roman" w:eastAsia="宋体" w:hAnsi="Times New Roman" w:cs="Times New Roman"/>
          <w:color w:val="000000"/>
          <w:kern w:val="0"/>
          <w:sz w:val="24"/>
          <w:szCs w:val="24"/>
        </w:rPr>
        <w:t xml:space="preserve"> Creek.</w:t>
      </w:r>
    </w:p>
    <w:p w14:paraId="2A663904"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About 45 per cent of the Seaton lands are already protected as green space and a natural heritage system that is defined by numerous streams and brooks.</w:t>
      </w:r>
    </w:p>
    <w:p w14:paraId="2EA6065A" w14:textId="77777777" w:rsidR="00631632" w:rsidRPr="00631632" w:rsidRDefault="00631632" w:rsidP="00631632">
      <w:pPr>
        <w:widowControl/>
        <w:jc w:val="left"/>
        <w:rPr>
          <w:rFonts w:ascii="宋体" w:eastAsia="宋体" w:hAnsi="宋体" w:cs="宋体"/>
          <w:kern w:val="0"/>
          <w:sz w:val="24"/>
          <w:szCs w:val="24"/>
        </w:rPr>
      </w:pPr>
    </w:p>
    <w:p w14:paraId="324E7181"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In addition to the 70,000 residents, the plan calls for the creation of about 35,000 jobs in the area. If the plan, the result of three years of consultations, comes to fruition, it would result in a one-of-a-kind community of 15 compact </w:t>
      </w:r>
      <w:proofErr w:type="spellStart"/>
      <w:r w:rsidRPr="00631632">
        <w:rPr>
          <w:rFonts w:ascii="Times New Roman" w:eastAsia="宋体" w:hAnsi="Times New Roman" w:cs="Times New Roman"/>
          <w:color w:val="000000"/>
          <w:kern w:val="0"/>
          <w:sz w:val="24"/>
          <w:szCs w:val="24"/>
        </w:rPr>
        <w:t>neighbourhoods</w:t>
      </w:r>
      <w:proofErr w:type="spellEnd"/>
      <w:r w:rsidRPr="00631632">
        <w:rPr>
          <w:rFonts w:ascii="Times New Roman" w:eastAsia="宋体" w:hAnsi="Times New Roman" w:cs="Times New Roman"/>
          <w:color w:val="000000"/>
          <w:kern w:val="0"/>
          <w:sz w:val="24"/>
          <w:szCs w:val="24"/>
        </w:rPr>
        <w:t xml:space="preserve"> bordering forests and streams.</w:t>
      </w:r>
    </w:p>
    <w:p w14:paraId="06652E4B" w14:textId="77777777" w:rsidR="00631632" w:rsidRPr="00631632" w:rsidRDefault="00631632" w:rsidP="00631632">
      <w:pPr>
        <w:widowControl/>
        <w:jc w:val="left"/>
        <w:rPr>
          <w:rFonts w:ascii="宋体" w:eastAsia="宋体" w:hAnsi="宋体" w:cs="宋体"/>
          <w:kern w:val="0"/>
          <w:sz w:val="24"/>
          <w:szCs w:val="24"/>
        </w:rPr>
      </w:pPr>
    </w:p>
    <w:p w14:paraId="72ADB136"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The plan calls for, among other things:</w:t>
      </w:r>
    </w:p>
    <w:p w14:paraId="0C7446C7"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Every home to be within a five-minute walk of a bus stop.</w:t>
      </w:r>
    </w:p>
    <w:p w14:paraId="63CBF1F8"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Extensive bicycle paths.</w:t>
      </w:r>
    </w:p>
    <w:p w14:paraId="220EA158"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Front porches and gardens, not garages, facing main streets.</w:t>
      </w:r>
    </w:p>
    <w:p w14:paraId="2650762D"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Houses powered by solar panels and geothermal energy, with metered appliances to encourage off-peak-hours energy use.</w:t>
      </w:r>
    </w:p>
    <w:p w14:paraId="77D26194" w14:textId="77777777" w:rsidR="00631632" w:rsidRPr="00631632" w:rsidRDefault="00631632" w:rsidP="00631632">
      <w:pPr>
        <w:widowControl/>
        <w:jc w:val="left"/>
        <w:rPr>
          <w:rFonts w:ascii="宋体" w:eastAsia="宋体" w:hAnsi="宋体" w:cs="宋体"/>
          <w:kern w:val="0"/>
          <w:sz w:val="24"/>
          <w:szCs w:val="24"/>
        </w:rPr>
      </w:pPr>
    </w:p>
    <w:p w14:paraId="5CF664AC"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De </w:t>
      </w:r>
      <w:proofErr w:type="spellStart"/>
      <w:r w:rsidRPr="00631632">
        <w:rPr>
          <w:rFonts w:ascii="Times New Roman" w:eastAsia="宋体" w:hAnsi="Times New Roman" w:cs="Times New Roman"/>
          <w:color w:val="000000"/>
          <w:kern w:val="0"/>
          <w:sz w:val="24"/>
          <w:szCs w:val="24"/>
        </w:rPr>
        <w:t>Gasperis</w:t>
      </w:r>
      <w:proofErr w:type="spellEnd"/>
      <w:r w:rsidRPr="00631632">
        <w:rPr>
          <w:rFonts w:ascii="Times New Roman" w:eastAsia="宋体" w:hAnsi="Times New Roman" w:cs="Times New Roman"/>
          <w:color w:val="000000"/>
          <w:kern w:val="0"/>
          <w:sz w:val="24"/>
          <w:szCs w:val="24"/>
        </w:rPr>
        <w:t xml:space="preserve"> argued that land adjacent to Seaton – which he owns but that now falls in the province's protected greenbelt – was better suited for development. The disappointed developer said the ruling "is what it is," adding he thought it was unfortunate for Pickering taxpayers but the law of the land must be respected. Seaton's planning principles, laid down by the province, now have to be executed by the city of Pickering, which still prefers development on De </w:t>
      </w:r>
      <w:proofErr w:type="spellStart"/>
      <w:r w:rsidRPr="00631632">
        <w:rPr>
          <w:rFonts w:ascii="Times New Roman" w:eastAsia="宋体" w:hAnsi="Times New Roman" w:cs="Times New Roman"/>
          <w:color w:val="000000"/>
          <w:kern w:val="0"/>
          <w:sz w:val="24"/>
          <w:szCs w:val="24"/>
        </w:rPr>
        <w:t>Gasperis's</w:t>
      </w:r>
      <w:proofErr w:type="spellEnd"/>
      <w:r w:rsidRPr="00631632">
        <w:rPr>
          <w:rFonts w:ascii="Times New Roman" w:eastAsia="宋体" w:hAnsi="Times New Roman" w:cs="Times New Roman"/>
          <w:color w:val="000000"/>
          <w:kern w:val="0"/>
          <w:sz w:val="24"/>
          <w:szCs w:val="24"/>
        </w:rPr>
        <w:t xml:space="preserve"> lands.</w:t>
      </w:r>
    </w:p>
    <w:p w14:paraId="738108B3" w14:textId="77777777" w:rsidR="00631632" w:rsidRPr="00631632" w:rsidRDefault="00631632" w:rsidP="00631632">
      <w:pPr>
        <w:widowControl/>
        <w:jc w:val="left"/>
        <w:rPr>
          <w:rFonts w:ascii="宋体" w:eastAsia="宋体" w:hAnsi="宋体" w:cs="宋体"/>
          <w:kern w:val="0"/>
          <w:sz w:val="24"/>
          <w:szCs w:val="24"/>
        </w:rPr>
      </w:pPr>
    </w:p>
    <w:p w14:paraId="3837C2A6"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The Seaton lands saga began in the 1970s when Ontario expropriated about 6,000 hectares of land bordering West </w:t>
      </w:r>
      <w:proofErr w:type="spellStart"/>
      <w:r w:rsidRPr="00631632">
        <w:rPr>
          <w:rFonts w:ascii="Times New Roman" w:eastAsia="宋体" w:hAnsi="Times New Roman" w:cs="Times New Roman"/>
          <w:color w:val="000000"/>
          <w:kern w:val="0"/>
          <w:sz w:val="24"/>
          <w:szCs w:val="24"/>
        </w:rPr>
        <w:t>Duffins</w:t>
      </w:r>
      <w:proofErr w:type="spellEnd"/>
      <w:r w:rsidRPr="00631632">
        <w:rPr>
          <w:rFonts w:ascii="Times New Roman" w:eastAsia="宋体" w:hAnsi="Times New Roman" w:cs="Times New Roman"/>
          <w:color w:val="000000"/>
          <w:kern w:val="0"/>
          <w:sz w:val="24"/>
          <w:szCs w:val="24"/>
        </w:rPr>
        <w:t xml:space="preserve"> Creek and the Pickering-Ajax boundary between Highway 7 and the railway corridor for a planned federal airport and community. Plans for the community lay dormant for decades until kick-started by a Liberal-engineered plan to swap developers' land in the environmentally sensitive Oak Ridges Moraine for land in Seaton.</w:t>
      </w:r>
    </w:p>
    <w:p w14:paraId="4E332B74" w14:textId="77777777" w:rsidR="00631632" w:rsidRPr="00631632" w:rsidRDefault="00631632" w:rsidP="00631632">
      <w:pPr>
        <w:widowControl/>
        <w:jc w:val="left"/>
        <w:rPr>
          <w:rFonts w:ascii="宋体" w:eastAsia="宋体" w:hAnsi="宋体" w:cs="宋体"/>
          <w:kern w:val="0"/>
          <w:sz w:val="24"/>
          <w:szCs w:val="24"/>
        </w:rPr>
      </w:pPr>
    </w:p>
    <w:p w14:paraId="1C16D01E"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That swap and the decision to include in the greenbelt the </w:t>
      </w:r>
      <w:proofErr w:type="spellStart"/>
      <w:r w:rsidRPr="00631632">
        <w:rPr>
          <w:rFonts w:ascii="Times New Roman" w:eastAsia="宋体" w:hAnsi="Times New Roman" w:cs="Times New Roman"/>
          <w:color w:val="000000"/>
          <w:kern w:val="0"/>
          <w:sz w:val="24"/>
          <w:szCs w:val="24"/>
        </w:rPr>
        <w:t>Duffins</w:t>
      </w:r>
      <w:proofErr w:type="spellEnd"/>
      <w:r w:rsidRPr="00631632">
        <w:rPr>
          <w:rFonts w:ascii="Times New Roman" w:eastAsia="宋体" w:hAnsi="Times New Roman" w:cs="Times New Roman"/>
          <w:color w:val="000000"/>
          <w:kern w:val="0"/>
          <w:sz w:val="24"/>
          <w:szCs w:val="24"/>
        </w:rPr>
        <w:t xml:space="preserve"> Rouge Agricultural Preserve – where De </w:t>
      </w:r>
      <w:proofErr w:type="spellStart"/>
      <w:r w:rsidRPr="00631632">
        <w:rPr>
          <w:rFonts w:ascii="Times New Roman" w:eastAsia="宋体" w:hAnsi="Times New Roman" w:cs="Times New Roman"/>
          <w:color w:val="000000"/>
          <w:kern w:val="0"/>
          <w:sz w:val="24"/>
          <w:szCs w:val="24"/>
        </w:rPr>
        <w:t>Gasperis</w:t>
      </w:r>
      <w:proofErr w:type="spellEnd"/>
      <w:r w:rsidRPr="00631632">
        <w:rPr>
          <w:rFonts w:ascii="Times New Roman" w:eastAsia="宋体" w:hAnsi="Times New Roman" w:cs="Times New Roman"/>
          <w:color w:val="000000"/>
          <w:kern w:val="0"/>
          <w:sz w:val="24"/>
          <w:szCs w:val="24"/>
        </w:rPr>
        <w:t xml:space="preserve"> owned land – triggered a bitter battle between the developer and the government. De </w:t>
      </w:r>
      <w:proofErr w:type="spellStart"/>
      <w:r w:rsidRPr="00631632">
        <w:rPr>
          <w:rFonts w:ascii="Times New Roman" w:eastAsia="宋体" w:hAnsi="Times New Roman" w:cs="Times New Roman"/>
          <w:color w:val="000000"/>
          <w:kern w:val="0"/>
          <w:sz w:val="24"/>
          <w:szCs w:val="24"/>
        </w:rPr>
        <w:t>Gasperis</w:t>
      </w:r>
      <w:proofErr w:type="spellEnd"/>
      <w:r w:rsidRPr="00631632">
        <w:rPr>
          <w:rFonts w:ascii="Times New Roman" w:eastAsia="宋体" w:hAnsi="Times New Roman" w:cs="Times New Roman"/>
          <w:color w:val="000000"/>
          <w:kern w:val="0"/>
          <w:sz w:val="24"/>
          <w:szCs w:val="24"/>
        </w:rPr>
        <w:t xml:space="preserve"> said the Seaton lands were more environmentally sensitive than his and it made more sense to build on his lands because they were serviced.</w:t>
      </w:r>
    </w:p>
    <w:p w14:paraId="323AD39C" w14:textId="77777777" w:rsidR="00631632" w:rsidRPr="00631632" w:rsidRDefault="00631632" w:rsidP="00631632">
      <w:pPr>
        <w:widowControl/>
        <w:jc w:val="left"/>
        <w:rPr>
          <w:rFonts w:ascii="宋体" w:eastAsia="宋体" w:hAnsi="宋体" w:cs="宋体"/>
          <w:kern w:val="0"/>
          <w:sz w:val="24"/>
          <w:szCs w:val="24"/>
        </w:rPr>
      </w:pPr>
    </w:p>
    <w:p w14:paraId="15D4D0CE"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De </w:t>
      </w:r>
      <w:proofErr w:type="spellStart"/>
      <w:r w:rsidRPr="00631632">
        <w:rPr>
          <w:rFonts w:ascii="Times New Roman" w:eastAsia="宋体" w:hAnsi="Times New Roman" w:cs="Times New Roman"/>
          <w:color w:val="000000"/>
          <w:kern w:val="0"/>
          <w:sz w:val="24"/>
          <w:szCs w:val="24"/>
        </w:rPr>
        <w:t>Gasperis</w:t>
      </w:r>
      <w:proofErr w:type="spellEnd"/>
      <w:r w:rsidRPr="00631632">
        <w:rPr>
          <w:rFonts w:ascii="Times New Roman" w:eastAsia="宋体" w:hAnsi="Times New Roman" w:cs="Times New Roman"/>
          <w:color w:val="000000"/>
          <w:kern w:val="0"/>
          <w:sz w:val="24"/>
          <w:szCs w:val="24"/>
        </w:rPr>
        <w:t xml:space="preserve"> still has one outstanding court challenge that questions the environmental assessment of the land swap. David Donnelly, a lawyer for Environmental </w:t>
      </w:r>
      <w:proofErr w:type="spellStart"/>
      <w:r w:rsidRPr="00631632">
        <w:rPr>
          <w:rFonts w:ascii="Times New Roman" w:eastAsia="宋体" w:hAnsi="Times New Roman" w:cs="Times New Roman"/>
          <w:color w:val="000000"/>
          <w:kern w:val="0"/>
          <w:sz w:val="24"/>
          <w:szCs w:val="24"/>
        </w:rPr>
        <w:t>Defence</w:t>
      </w:r>
      <w:proofErr w:type="spellEnd"/>
      <w:r w:rsidRPr="00631632">
        <w:rPr>
          <w:rFonts w:ascii="Times New Roman" w:eastAsia="宋体" w:hAnsi="Times New Roman" w:cs="Times New Roman"/>
          <w:color w:val="000000"/>
          <w:kern w:val="0"/>
          <w:sz w:val="24"/>
          <w:szCs w:val="24"/>
        </w:rPr>
        <w:t xml:space="preserve"> and an aboriginal group called the Founding Nations Circle – which worked with the province during the planning process for Seaton – said the community "truly looks like a go." But Donnelly cautioned that the key to Seaton's success lies in the fulfillment of a Liberal promise that Seaton would be built to the highest possible environmental standards – and that it would set the bar for how future growth will be handled.</w:t>
      </w:r>
    </w:p>
    <w:p w14:paraId="205B2D1B" w14:textId="77777777" w:rsidR="00631632" w:rsidRPr="00631632" w:rsidRDefault="00631632" w:rsidP="00631632">
      <w:pPr>
        <w:widowControl/>
        <w:jc w:val="left"/>
        <w:rPr>
          <w:rFonts w:ascii="宋体" w:eastAsia="宋体" w:hAnsi="宋体" w:cs="宋体"/>
          <w:kern w:val="0"/>
          <w:sz w:val="24"/>
          <w:szCs w:val="24"/>
        </w:rPr>
      </w:pPr>
    </w:p>
    <w:p w14:paraId="64DE161C"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Pickering Mayor Dave Ryan said he was disappointed with the ruling but he is willing to work with the province. "Seaton has the potential to be the most sustainable development in Canada," he said. But Ryan warned that will happen only if the provincial and federal governments pay for some key costs, including the mass transit and jobs component. "It's not something Pickering can do on its own," he said.</w:t>
      </w:r>
    </w:p>
    <w:p w14:paraId="37031DF1"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ab/>
      </w:r>
    </w:p>
    <w:p w14:paraId="0DA0845D" w14:textId="77777777"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 xml:space="preserve">Adapted from: </w:t>
      </w:r>
      <w:proofErr w:type="spellStart"/>
      <w:r w:rsidRPr="00631632">
        <w:rPr>
          <w:rFonts w:ascii="Times New Roman" w:eastAsia="宋体" w:hAnsi="Times New Roman" w:cs="Times New Roman"/>
          <w:b/>
          <w:bCs/>
          <w:color w:val="000000"/>
          <w:kern w:val="0"/>
          <w:sz w:val="24"/>
          <w:szCs w:val="24"/>
        </w:rPr>
        <w:t>Gombu</w:t>
      </w:r>
      <w:proofErr w:type="spellEnd"/>
      <w:r w:rsidRPr="00631632">
        <w:rPr>
          <w:rFonts w:ascii="Times New Roman" w:eastAsia="宋体" w:hAnsi="Times New Roman" w:cs="Times New Roman"/>
          <w:b/>
          <w:bCs/>
          <w:color w:val="000000"/>
          <w:kern w:val="0"/>
          <w:sz w:val="24"/>
          <w:szCs w:val="24"/>
        </w:rPr>
        <w:t xml:space="preserve">, P. (Feb. 16, 2007) Ruling Paves Way for “Green” Seaton. </w:t>
      </w:r>
      <w:r w:rsidRPr="00631632">
        <w:rPr>
          <w:rFonts w:ascii="Times New Roman" w:eastAsia="宋体" w:hAnsi="Times New Roman" w:cs="Times New Roman"/>
          <w:b/>
          <w:bCs/>
          <w:i/>
          <w:iCs/>
          <w:color w:val="000000"/>
          <w:kern w:val="0"/>
          <w:sz w:val="24"/>
          <w:szCs w:val="24"/>
        </w:rPr>
        <w:t>Toronto Star</w:t>
      </w:r>
      <w:r w:rsidRPr="00631632">
        <w:rPr>
          <w:rFonts w:ascii="Times New Roman" w:eastAsia="宋体" w:hAnsi="Times New Roman" w:cs="Times New Roman"/>
          <w:b/>
          <w:bCs/>
          <w:color w:val="000000"/>
          <w:kern w:val="0"/>
          <w:sz w:val="24"/>
          <w:szCs w:val="24"/>
        </w:rPr>
        <w:t xml:space="preserve">. (Retrieved from </w:t>
      </w:r>
      <w:hyperlink r:id="rId4" w:history="1">
        <w:r w:rsidRPr="00631632">
          <w:rPr>
            <w:rFonts w:ascii="Times New Roman" w:eastAsia="宋体" w:hAnsi="Times New Roman" w:cs="Times New Roman"/>
            <w:b/>
            <w:bCs/>
            <w:color w:val="1155CC"/>
            <w:kern w:val="0"/>
            <w:sz w:val="24"/>
            <w:szCs w:val="24"/>
            <w:u w:val="single"/>
          </w:rPr>
          <w:t>http://ww</w:t>
        </w:r>
      </w:hyperlink>
      <w:r w:rsidRPr="00631632">
        <w:rPr>
          <w:rFonts w:ascii="Times New Roman" w:eastAsia="宋体" w:hAnsi="Times New Roman" w:cs="Times New Roman"/>
          <w:b/>
          <w:bCs/>
          <w:color w:val="000000"/>
          <w:kern w:val="0"/>
          <w:sz w:val="24"/>
          <w:szCs w:val="24"/>
        </w:rPr>
        <w:t>w.thestar.com)</w:t>
      </w:r>
    </w:p>
    <w:p w14:paraId="6202A725" w14:textId="77777777" w:rsidR="008951E7" w:rsidRDefault="008951E7"/>
    <w:sectPr w:rsidR="008951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E6"/>
    <w:rsid w:val="002E3AE6"/>
    <w:rsid w:val="00547E11"/>
    <w:rsid w:val="00631632"/>
    <w:rsid w:val="008951E7"/>
    <w:rsid w:val="00AD6B7B"/>
    <w:rsid w:val="00C346DC"/>
    <w:rsid w:val="00E12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1B9F"/>
  <w15:chartTrackingRefBased/>
  <w15:docId w15:val="{49D2656F-1C1E-49DC-8024-299DE59B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632"/>
    <w:pPr>
      <w:widowControl/>
      <w:spacing w:before="100" w:beforeAutospacing="1" w:after="100" w:afterAutospacing="1"/>
      <w:jc w:val="left"/>
    </w:pPr>
    <w:rPr>
      <w:rFonts w:ascii="宋体" w:eastAsia="宋体" w:hAnsi="宋体" w:cs="宋体"/>
      <w:kern w:val="0"/>
      <w:sz w:val="24"/>
      <w:szCs w:val="24"/>
    </w:rPr>
  </w:style>
  <w:style w:type="character" w:customStyle="1" w:styleId="apple-tab-span">
    <w:name w:val="apple-tab-span"/>
    <w:basedOn w:val="a0"/>
    <w:rsid w:val="00631632"/>
  </w:style>
  <w:style w:type="character" w:styleId="a4">
    <w:name w:val="Hyperlink"/>
    <w:basedOn w:val="a0"/>
    <w:uiPriority w:val="99"/>
    <w:semiHidden/>
    <w:unhideWhenUsed/>
    <w:rsid w:val="006316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1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1848</Words>
  <Characters>10536</Characters>
  <Application>Microsoft Macintosh Word</Application>
  <DocSecurity>0</DocSecurity>
  <Lines>87</Lines>
  <Paragraphs>24</Paragraphs>
  <ScaleCrop>false</ScaleCrop>
  <Company/>
  <LinksUpToDate>false</LinksUpToDate>
  <CharactersWithSpaces>12360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孙世轩</dc:creator>
  <cp:keywords/>
  <dc:description/>
  <cp:lastModifiedBy>孙世轩</cp:lastModifiedBy>
  <cp:revision>6</cp:revision>
  <dcterms:created xsi:type="dcterms:W3CDTF">2016-09-22T15:56:00Z</dcterms:created>
  <dcterms:modified xsi:type="dcterms:W3CDTF">2016-10-01T16:38:00Z</dcterms:modified>
</cp:coreProperties>
</file>