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8A" w:rsidRDefault="006A548A" w:rsidP="006A548A">
      <w:pPr>
        <w:pStyle w:val="NormalWeb"/>
      </w:pPr>
      <w:r>
        <w:rPr>
          <w:rFonts w:ascii="Calibri" w:hAnsi="Calibri"/>
          <w:b/>
          <w:bCs/>
          <w:color w:val="0068A8"/>
          <w:sz w:val="40"/>
          <w:szCs w:val="40"/>
        </w:rPr>
        <w:t>Credit value at risk (</w:t>
      </w:r>
      <w:proofErr w:type="spellStart"/>
      <w:r>
        <w:rPr>
          <w:rFonts w:ascii="Calibri" w:hAnsi="Calibri"/>
          <w:b/>
          <w:bCs/>
          <w:color w:val="0068A8"/>
          <w:sz w:val="40"/>
          <w:szCs w:val="40"/>
        </w:rPr>
        <w:t>CVaR</w:t>
      </w:r>
      <w:proofErr w:type="spellEnd"/>
      <w:r>
        <w:rPr>
          <w:rFonts w:ascii="Calibri" w:hAnsi="Calibri"/>
          <w:b/>
          <w:bCs/>
          <w:color w:val="0068A8"/>
          <w:sz w:val="40"/>
          <w:szCs w:val="40"/>
        </w:rPr>
        <w:t xml:space="preserve">) </w:t>
      </w:r>
    </w:p>
    <w:p w:rsidR="006A548A" w:rsidRDefault="006A548A" w:rsidP="006A548A">
      <w:pPr>
        <w:pStyle w:val="NormalWeb"/>
      </w:pPr>
      <w:r>
        <w:rPr>
          <w:rFonts w:ascii="Calibri" w:hAnsi="Calibri"/>
          <w:sz w:val="22"/>
          <w:szCs w:val="22"/>
        </w:rPr>
        <w:t xml:space="preserve">A key issue in understanding credit risk over time is the concept of expected losses and unexpected losses. The easiest way to understand these concepts is to illustrate them. In Figure 2 the loss history from credit defaults for a bank is shown over time. Using the historical time series, we have the </w:t>
      </w:r>
      <w:r>
        <w:rPr>
          <w:rFonts w:ascii="Calibri" w:hAnsi="Calibri"/>
          <w:b/>
          <w:bCs/>
          <w:sz w:val="22"/>
          <w:szCs w:val="22"/>
        </w:rPr>
        <w:t>expected losses</w:t>
      </w:r>
      <w:r>
        <w:rPr>
          <w:rFonts w:ascii="Calibri" w:hAnsi="Calibri"/>
          <w:sz w:val="22"/>
          <w:szCs w:val="22"/>
        </w:rPr>
        <w:t xml:space="preserve">, which is simply the average loss rate over time. That is, if we wanted to price for future losses, we would know that there was an expected loss rate (EL) that we would want to factor into our pricing. Typically, this is the </w:t>
      </w:r>
      <w:r>
        <w:rPr>
          <w:rFonts w:ascii="Calibri" w:hAnsi="Calibri"/>
          <w:i/>
          <w:iCs/>
          <w:sz w:val="22"/>
          <w:szCs w:val="22"/>
        </w:rPr>
        <w:t xml:space="preserve">average </w:t>
      </w:r>
      <w:r>
        <w:rPr>
          <w:rFonts w:ascii="Calibri" w:hAnsi="Calibri"/>
          <w:sz w:val="22"/>
          <w:szCs w:val="22"/>
        </w:rPr>
        <w:t xml:space="preserve">loss rate determined from past data on losses. </w:t>
      </w:r>
    </w:p>
    <w:p w:rsidR="006A548A" w:rsidRDefault="006A548A" w:rsidP="006A548A">
      <w:pPr>
        <w:pStyle w:val="NormalWeb"/>
      </w:pPr>
      <w:r>
        <w:rPr>
          <w:rFonts w:ascii="Calibri" w:hAnsi="Calibri"/>
          <w:sz w:val="22"/>
          <w:szCs w:val="22"/>
        </w:rPr>
        <w:t>However, there is also volatility in the loss rate. That is, the loss experience varies over time.</w:t>
      </w:r>
      <w:r>
        <w:rPr>
          <w:rFonts w:ascii="Calibri" w:hAnsi="Calibri"/>
          <w:sz w:val="22"/>
          <w:szCs w:val="22"/>
        </w:rPr>
        <w:br/>
        <w:t>This variation might be due to chance and/or the underlying econo</w:t>
      </w:r>
      <w:r>
        <w:rPr>
          <w:rFonts w:ascii="Calibri" w:hAnsi="Calibri"/>
          <w:sz w:val="22"/>
          <w:szCs w:val="22"/>
        </w:rPr>
        <w:t xml:space="preserve">mic situation for the industry, </w:t>
      </w:r>
      <w:bookmarkStart w:id="0" w:name="_GoBack"/>
      <w:bookmarkEnd w:id="0"/>
      <w:r>
        <w:rPr>
          <w:rFonts w:ascii="Calibri" w:hAnsi="Calibri"/>
          <w:sz w:val="22"/>
          <w:szCs w:val="22"/>
        </w:rPr>
        <w:t xml:space="preserve">that for the economy as a whole, or other factors unique to the group of </w:t>
      </w:r>
      <w:proofErr w:type="gramStart"/>
      <w:r>
        <w:rPr>
          <w:rFonts w:ascii="Calibri" w:hAnsi="Calibri"/>
          <w:sz w:val="22"/>
          <w:szCs w:val="22"/>
        </w:rPr>
        <w:t xml:space="preserve">credits </w:t>
      </w:r>
      <w:r>
        <w:rPr>
          <w:rFonts w:ascii="Calibri" w:hAnsi="Calibri"/>
          <w:sz w:val="22"/>
          <w:szCs w:val="22"/>
        </w:rPr>
        <w:t xml:space="preserve"> </w:t>
      </w:r>
      <w:r>
        <w:rPr>
          <w:rFonts w:ascii="Calibri" w:hAnsi="Calibri"/>
          <w:sz w:val="22"/>
          <w:szCs w:val="22"/>
        </w:rPr>
        <w:t>being</w:t>
      </w:r>
      <w:proofErr w:type="gramEnd"/>
      <w:r>
        <w:rPr>
          <w:rFonts w:ascii="Calibri" w:hAnsi="Calibri"/>
          <w:sz w:val="22"/>
          <w:szCs w:val="22"/>
        </w:rPr>
        <w:t xml:space="preserve"> analysed. Whatever the cause, this means that there is an element of unexpected loss if the actual loss experience differs from that predicted. This is known as </w:t>
      </w:r>
      <w:r>
        <w:rPr>
          <w:rFonts w:ascii="Calibri" w:hAnsi="Calibri"/>
          <w:b/>
          <w:bCs/>
          <w:sz w:val="22"/>
          <w:szCs w:val="22"/>
        </w:rPr>
        <w:t>unexpected loss</w:t>
      </w:r>
      <w:r>
        <w:rPr>
          <w:rFonts w:ascii="Calibri" w:hAnsi="Calibri"/>
          <w:sz w:val="22"/>
          <w:szCs w:val="22"/>
        </w:rPr>
        <w:t xml:space="preserve">. What Figure 2 shows is that the wider the dispersion of unexpected losses, the greater the degree of risk from unexpected credit events. Hence it is not sufficient to know what the expected losses from credit events are, but it is also necessary to know the distribution of such losses over time. </w:t>
      </w:r>
    </w:p>
    <w:p w:rsidR="006A548A" w:rsidRDefault="006A548A" w:rsidP="006A548A">
      <w:pPr>
        <w:pStyle w:val="NormalWeb"/>
      </w:pPr>
      <w:r>
        <w:rPr>
          <w:rFonts w:ascii="Calibri" w:hAnsi="Calibri"/>
          <w:sz w:val="22"/>
          <w:szCs w:val="22"/>
        </w:rPr>
        <w:t xml:space="preserve">Define credit value at risk and its role in the management of economic and regulatory capital. </w:t>
      </w:r>
    </w:p>
    <w:p w:rsidR="006A548A" w:rsidRDefault="006A548A" w:rsidP="006A548A">
      <w:pPr>
        <w:pStyle w:val="NormalWeb"/>
      </w:pPr>
      <w:r>
        <w:rPr>
          <w:rFonts w:ascii="Calibri" w:hAnsi="Calibri"/>
          <w:b/>
          <w:bCs/>
          <w:color w:val="0068A8"/>
          <w:sz w:val="32"/>
          <w:szCs w:val="32"/>
        </w:rPr>
        <w:t>3.1 Value at risk (</w:t>
      </w:r>
      <w:proofErr w:type="spellStart"/>
      <w:r>
        <w:rPr>
          <w:rFonts w:ascii="Calibri" w:hAnsi="Calibri"/>
          <w:b/>
          <w:bCs/>
          <w:color w:val="0068A8"/>
          <w:sz w:val="32"/>
          <w:szCs w:val="32"/>
        </w:rPr>
        <w:t>VaR</w:t>
      </w:r>
      <w:proofErr w:type="spellEnd"/>
      <w:r>
        <w:rPr>
          <w:rFonts w:ascii="Calibri" w:hAnsi="Calibri"/>
          <w:b/>
          <w:bCs/>
          <w:color w:val="0068A8"/>
          <w:sz w:val="32"/>
          <w:szCs w:val="32"/>
        </w:rPr>
        <w:t xml:space="preserve">) </w:t>
      </w:r>
    </w:p>
    <w:p w:rsidR="006A548A" w:rsidRDefault="006A548A" w:rsidP="006A548A">
      <w:pPr>
        <w:pStyle w:val="NormalWeb"/>
      </w:pPr>
      <w:r>
        <w:rPr>
          <w:rFonts w:ascii="Calibri" w:hAnsi="Calibri"/>
          <w:sz w:val="22"/>
          <w:szCs w:val="22"/>
        </w:rPr>
        <w:t>The value-at-risk (</w:t>
      </w:r>
      <w:proofErr w:type="spellStart"/>
      <w:r>
        <w:rPr>
          <w:rFonts w:ascii="Calibri" w:hAnsi="Calibri"/>
          <w:sz w:val="22"/>
          <w:szCs w:val="22"/>
        </w:rPr>
        <w:t>VaR</w:t>
      </w:r>
      <w:proofErr w:type="spellEnd"/>
      <w:r>
        <w:rPr>
          <w:rFonts w:ascii="Calibri" w:hAnsi="Calibri"/>
          <w:sz w:val="22"/>
          <w:szCs w:val="22"/>
        </w:rPr>
        <w:t xml:space="preserve">) of a portfolio for a given confidence level α and a given time horizon is the level or loss amount that will only be exceeded with a probability of1 − α on average over that horizon. Mathematically, the </w:t>
      </w:r>
      <w:proofErr w:type="spellStart"/>
      <w:r>
        <w:rPr>
          <w:rFonts w:ascii="Calibri" w:hAnsi="Calibri"/>
          <w:sz w:val="22"/>
          <w:szCs w:val="22"/>
        </w:rPr>
        <w:t>VaR</w:t>
      </w:r>
      <w:proofErr w:type="spellEnd"/>
      <w:r>
        <w:rPr>
          <w:rFonts w:ascii="Calibri" w:hAnsi="Calibri"/>
          <w:sz w:val="22"/>
          <w:szCs w:val="22"/>
        </w:rPr>
        <w:t xml:space="preserve"> on the portfolio with loss distribution LP is defined as: </w:t>
      </w:r>
    </w:p>
    <w:p w:rsidR="006A548A" w:rsidRDefault="006A548A" w:rsidP="006A548A">
      <w:pPr>
        <w:pStyle w:val="NormalWeb"/>
      </w:pPr>
      <w:proofErr w:type="spellStart"/>
      <w:proofErr w:type="gramStart"/>
      <w:r>
        <w:rPr>
          <w:rFonts w:ascii="Calibri" w:hAnsi="Calibri"/>
          <w:i/>
          <w:iCs/>
          <w:sz w:val="22"/>
          <w:szCs w:val="22"/>
          <w:shd w:val="clear" w:color="auto" w:fill="F2EF8C"/>
        </w:rPr>
        <w:t>Var</w:t>
      </w:r>
      <w:proofErr w:type="spellEnd"/>
      <w:r>
        <w:rPr>
          <w:rFonts w:ascii="Calibri" w:hAnsi="Calibri"/>
          <w:sz w:val="22"/>
          <w:szCs w:val="22"/>
          <w:shd w:val="clear" w:color="auto" w:fill="F2EF8C"/>
        </w:rPr>
        <w:t>(</w:t>
      </w:r>
      <w:proofErr w:type="gramEnd"/>
      <w:r>
        <w:rPr>
          <w:rFonts w:ascii="SymbolMT" w:hAnsi="SymbolMT"/>
          <w:sz w:val="22"/>
          <w:szCs w:val="22"/>
          <w:shd w:val="clear" w:color="auto" w:fill="F2EF8C"/>
        </w:rPr>
        <w:t>α</w:t>
      </w:r>
      <w:r>
        <w:rPr>
          <w:rFonts w:ascii="Calibri" w:hAnsi="Calibri"/>
          <w:sz w:val="22"/>
          <w:szCs w:val="22"/>
          <w:shd w:val="clear" w:color="auto" w:fill="F2EF8C"/>
        </w:rPr>
        <w:t xml:space="preserve">) = </w:t>
      </w:r>
      <w:r>
        <w:rPr>
          <w:rFonts w:ascii="Calibri" w:hAnsi="Calibri"/>
          <w:i/>
          <w:iCs/>
          <w:sz w:val="22"/>
          <w:szCs w:val="22"/>
          <w:shd w:val="clear" w:color="auto" w:fill="F2EF8C"/>
        </w:rPr>
        <w:t>min</w:t>
      </w:r>
      <w:r>
        <w:rPr>
          <w:rFonts w:ascii="Calibri" w:hAnsi="Calibri"/>
          <w:sz w:val="22"/>
          <w:szCs w:val="22"/>
          <w:shd w:val="clear" w:color="auto" w:fill="F2EF8C"/>
        </w:rPr>
        <w:t>{</w:t>
      </w:r>
      <w:r>
        <w:rPr>
          <w:rFonts w:ascii="Calibri" w:hAnsi="Calibri"/>
          <w:i/>
          <w:iCs/>
          <w:sz w:val="22"/>
          <w:szCs w:val="22"/>
          <w:shd w:val="clear" w:color="auto" w:fill="F2EF8C"/>
        </w:rPr>
        <w:t>L</w:t>
      </w:r>
      <w:r>
        <w:rPr>
          <w:rFonts w:ascii="Calibri" w:hAnsi="Calibri"/>
          <w:sz w:val="22"/>
          <w:szCs w:val="22"/>
          <w:shd w:val="clear" w:color="auto" w:fill="F2EF8C"/>
        </w:rPr>
        <w:t>|</w:t>
      </w:r>
      <w:r>
        <w:rPr>
          <w:rFonts w:ascii="Calibri" w:hAnsi="Calibri"/>
          <w:i/>
          <w:iCs/>
          <w:sz w:val="22"/>
          <w:szCs w:val="22"/>
          <w:shd w:val="clear" w:color="auto" w:fill="F2EF8C"/>
        </w:rPr>
        <w:t>P</w:t>
      </w:r>
      <w:r>
        <w:rPr>
          <w:rFonts w:ascii="Calibri" w:hAnsi="Calibri"/>
          <w:sz w:val="22"/>
          <w:szCs w:val="22"/>
          <w:shd w:val="clear" w:color="auto" w:fill="F2EF8C"/>
        </w:rPr>
        <w:t>(</w:t>
      </w:r>
      <w:r>
        <w:rPr>
          <w:rFonts w:ascii="Calibri" w:hAnsi="Calibri"/>
          <w:i/>
          <w:iCs/>
          <w:sz w:val="22"/>
          <w:szCs w:val="22"/>
          <w:shd w:val="clear" w:color="auto" w:fill="F2EF8C"/>
        </w:rPr>
        <w:t xml:space="preserve">LP </w:t>
      </w:r>
      <w:r>
        <w:rPr>
          <w:rFonts w:ascii="Calibri" w:hAnsi="Calibri"/>
          <w:sz w:val="22"/>
          <w:szCs w:val="22"/>
          <w:shd w:val="clear" w:color="auto" w:fill="F2EF8C"/>
        </w:rPr>
        <w:t xml:space="preserve">&gt; </w:t>
      </w:r>
      <w:r>
        <w:rPr>
          <w:rFonts w:ascii="Calibri" w:hAnsi="Calibri"/>
          <w:i/>
          <w:iCs/>
          <w:sz w:val="22"/>
          <w:szCs w:val="22"/>
          <w:shd w:val="clear" w:color="auto" w:fill="F2EF8C"/>
        </w:rPr>
        <w:t>L</w:t>
      </w:r>
      <w:r>
        <w:rPr>
          <w:rFonts w:ascii="Calibri" w:hAnsi="Calibri"/>
          <w:sz w:val="22"/>
          <w:szCs w:val="22"/>
          <w:shd w:val="clear" w:color="auto" w:fill="F2EF8C"/>
        </w:rPr>
        <w:t>) ≤ (</w:t>
      </w:r>
      <w:r>
        <w:rPr>
          <w:rFonts w:ascii="Calibri" w:hAnsi="Calibri"/>
          <w:i/>
          <w:iCs/>
          <w:sz w:val="22"/>
          <w:szCs w:val="22"/>
          <w:shd w:val="clear" w:color="auto" w:fill="F2EF8C"/>
        </w:rPr>
        <w:t xml:space="preserve">1 – </w:t>
      </w:r>
      <w:r>
        <w:rPr>
          <w:rFonts w:ascii="SymbolMT" w:hAnsi="SymbolMT"/>
          <w:sz w:val="22"/>
          <w:szCs w:val="22"/>
          <w:shd w:val="clear" w:color="auto" w:fill="F2EF8C"/>
        </w:rPr>
        <w:t>α</w:t>
      </w:r>
      <w:r>
        <w:rPr>
          <w:rFonts w:ascii="Calibri" w:hAnsi="Calibri"/>
          <w:sz w:val="22"/>
          <w:szCs w:val="22"/>
          <w:shd w:val="clear" w:color="auto" w:fill="F2EF8C"/>
        </w:rPr>
        <w:t xml:space="preserve">)} </w:t>
      </w:r>
    </w:p>
    <w:p w:rsidR="006A548A" w:rsidRDefault="006A548A" w:rsidP="006A548A">
      <w:pPr>
        <w:pStyle w:val="NormalWeb"/>
      </w:pPr>
      <w:r>
        <w:rPr>
          <w:rFonts w:ascii="Calibri" w:hAnsi="Calibri"/>
          <w:sz w:val="22"/>
          <w:szCs w:val="22"/>
        </w:rPr>
        <w:t>In words, this means that we are</w:t>
      </w:r>
      <w:r>
        <w:rPr>
          <w:rFonts w:ascii="Calibri" w:hAnsi="Calibri"/>
          <w:i/>
          <w:iCs/>
          <w:sz w:val="22"/>
          <w:szCs w:val="22"/>
        </w:rPr>
        <w:t xml:space="preserve">1−α </w:t>
      </w:r>
      <w:r>
        <w:rPr>
          <w:rFonts w:ascii="Calibri" w:hAnsi="Calibri"/>
          <w:sz w:val="22"/>
          <w:szCs w:val="22"/>
        </w:rPr>
        <w:t xml:space="preserve">per cent confident not to lose more than </w:t>
      </w:r>
      <w:proofErr w:type="spellStart"/>
      <w:proofErr w:type="gramStart"/>
      <w:r>
        <w:rPr>
          <w:rFonts w:ascii="Calibri" w:hAnsi="Calibri"/>
          <w:sz w:val="22"/>
          <w:szCs w:val="22"/>
        </w:rPr>
        <w:t>VaR</w:t>
      </w:r>
      <w:proofErr w:type="spellEnd"/>
      <w:r>
        <w:rPr>
          <w:rFonts w:ascii="Calibri" w:hAnsi="Calibri"/>
          <w:sz w:val="22"/>
          <w:szCs w:val="22"/>
        </w:rPr>
        <w:t>(</w:t>
      </w:r>
      <w:proofErr w:type="gramEnd"/>
      <w:r>
        <w:rPr>
          <w:rFonts w:ascii="Calibri" w:hAnsi="Calibri"/>
          <w:i/>
          <w:iCs/>
          <w:sz w:val="22"/>
          <w:szCs w:val="22"/>
        </w:rPr>
        <w:t>α</w:t>
      </w:r>
      <w:r>
        <w:rPr>
          <w:rFonts w:ascii="Calibri" w:hAnsi="Calibri"/>
          <w:sz w:val="22"/>
          <w:szCs w:val="22"/>
        </w:rPr>
        <w:t xml:space="preserve">) over a given time period. The </w:t>
      </w:r>
      <w:proofErr w:type="spellStart"/>
      <w:r>
        <w:rPr>
          <w:rFonts w:ascii="Calibri" w:hAnsi="Calibri"/>
          <w:sz w:val="22"/>
          <w:szCs w:val="22"/>
        </w:rPr>
        <w:t>VaR</w:t>
      </w:r>
      <w:proofErr w:type="spellEnd"/>
      <w:r>
        <w:rPr>
          <w:rFonts w:ascii="Calibri" w:hAnsi="Calibri"/>
          <w:sz w:val="22"/>
          <w:szCs w:val="22"/>
        </w:rPr>
        <w:t xml:space="preserve"> is the maximum amount at risk to be lost over the time horizon given the confidence level. The time horizon or holding period for market risk is usually 10 days, for credit risk it is 1 year. </w:t>
      </w:r>
    </w:p>
    <w:p w:rsidR="006A548A" w:rsidRDefault="006A548A" w:rsidP="006A548A">
      <w:pPr>
        <w:pStyle w:val="NormalWeb"/>
      </w:pPr>
      <w:r>
        <w:rPr>
          <w:rFonts w:ascii="Calibri" w:hAnsi="Calibri"/>
          <w:sz w:val="22"/>
          <w:szCs w:val="22"/>
        </w:rPr>
        <w:t xml:space="preserve">The </w:t>
      </w:r>
      <w:proofErr w:type="spellStart"/>
      <w:r>
        <w:rPr>
          <w:rFonts w:ascii="Calibri" w:hAnsi="Calibri"/>
          <w:sz w:val="22"/>
          <w:szCs w:val="22"/>
        </w:rPr>
        <w:t>VaR</w:t>
      </w:r>
      <w:proofErr w:type="spellEnd"/>
      <w:r>
        <w:rPr>
          <w:rFonts w:ascii="Calibri" w:hAnsi="Calibri"/>
          <w:sz w:val="22"/>
          <w:szCs w:val="22"/>
        </w:rPr>
        <w:t xml:space="preserve"> depends on the confidence level and the time horizon. Figure 3 illustrates the </w:t>
      </w:r>
      <w:proofErr w:type="spellStart"/>
      <w:r>
        <w:rPr>
          <w:rFonts w:ascii="Calibri" w:hAnsi="Calibri"/>
          <w:sz w:val="22"/>
          <w:szCs w:val="22"/>
        </w:rPr>
        <w:t>VaR</w:t>
      </w:r>
      <w:proofErr w:type="spellEnd"/>
      <w:r>
        <w:rPr>
          <w:rFonts w:ascii="Calibri" w:hAnsi="Calibri"/>
          <w:sz w:val="22"/>
          <w:szCs w:val="22"/>
        </w:rPr>
        <w:t xml:space="preserve"> concept. </w:t>
      </w:r>
      <w:proofErr w:type="spellStart"/>
      <w:r>
        <w:rPr>
          <w:rFonts w:ascii="Calibri" w:hAnsi="Calibri"/>
          <w:sz w:val="22"/>
          <w:szCs w:val="22"/>
        </w:rPr>
        <w:t>VaR</w:t>
      </w:r>
      <w:proofErr w:type="spellEnd"/>
      <w:r>
        <w:rPr>
          <w:rFonts w:ascii="Calibri" w:hAnsi="Calibri"/>
          <w:sz w:val="22"/>
          <w:szCs w:val="22"/>
        </w:rPr>
        <w:t xml:space="preserve"> measures are typically reported at high percentiles (99%</w:t>
      </w:r>
      <w:proofErr w:type="gramStart"/>
      <w:r>
        <w:rPr>
          <w:rFonts w:ascii="Calibri" w:hAnsi="Calibri"/>
          <w:sz w:val="22"/>
          <w:szCs w:val="22"/>
        </w:rPr>
        <w:t>,99.9</w:t>
      </w:r>
      <w:proofErr w:type="gramEnd"/>
      <w:r>
        <w:rPr>
          <w:rFonts w:ascii="Calibri" w:hAnsi="Calibri"/>
          <w:sz w:val="22"/>
          <w:szCs w:val="22"/>
        </w:rPr>
        <w:t xml:space="preserve">% or 99.99%) for capital requirements. Management is typically also interested to know the lower percentiles (e.g. the earnings-at-risk measure indicates the probability of a severe risk event that is less severe to threaten solvency, but will have a major impact on the profitability). </w:t>
      </w:r>
    </w:p>
    <w:p w:rsidR="006A548A" w:rsidRDefault="006A548A" w:rsidP="006A548A">
      <w:pPr>
        <w:pStyle w:val="NormalWeb"/>
      </w:pPr>
      <w:r>
        <w:rPr>
          <w:rFonts w:ascii="Calibri" w:hAnsi="Calibri"/>
          <w:sz w:val="22"/>
          <w:szCs w:val="22"/>
        </w:rPr>
        <w:t>Expected loss (EL), value-at-risk (</w:t>
      </w:r>
      <w:proofErr w:type="spellStart"/>
      <w:r>
        <w:rPr>
          <w:rFonts w:ascii="Calibri" w:hAnsi="Calibri"/>
          <w:sz w:val="22"/>
          <w:szCs w:val="22"/>
        </w:rPr>
        <w:t>VaR</w:t>
      </w:r>
      <w:proofErr w:type="spellEnd"/>
      <w:r>
        <w:rPr>
          <w:rFonts w:ascii="Calibri" w:hAnsi="Calibri"/>
          <w:sz w:val="22"/>
          <w:szCs w:val="22"/>
        </w:rPr>
        <w:t xml:space="preserve">), economic capital (EC) and expected shortfall (ES) are numerical measures to describe the main features of the loss distribution. Panel (a) in Figure 4 illustrates the </w:t>
      </w:r>
      <w:proofErr w:type="spellStart"/>
      <w:r>
        <w:rPr>
          <w:rFonts w:ascii="Calibri" w:hAnsi="Calibri"/>
          <w:sz w:val="22"/>
          <w:szCs w:val="22"/>
        </w:rPr>
        <w:t>VaR</w:t>
      </w:r>
      <w:proofErr w:type="spellEnd"/>
      <w:r>
        <w:rPr>
          <w:rFonts w:ascii="Calibri" w:hAnsi="Calibri"/>
          <w:sz w:val="22"/>
          <w:szCs w:val="22"/>
        </w:rPr>
        <w:t xml:space="preserve">, EC and ES at the 95th percentile. The right panel (b) in Figure 4 illustrates that two loss distributions can have the same </w:t>
      </w:r>
      <w:proofErr w:type="spellStart"/>
      <w:r>
        <w:rPr>
          <w:rFonts w:ascii="Calibri" w:hAnsi="Calibri"/>
          <w:sz w:val="22"/>
          <w:szCs w:val="22"/>
        </w:rPr>
        <w:t>VaR</w:t>
      </w:r>
      <w:proofErr w:type="spellEnd"/>
      <w:r>
        <w:rPr>
          <w:rFonts w:ascii="Calibri" w:hAnsi="Calibri"/>
          <w:sz w:val="22"/>
          <w:szCs w:val="22"/>
        </w:rPr>
        <w:t xml:space="preserve">, but different averages and tail distributions. </w:t>
      </w:r>
    </w:p>
    <w:p w:rsidR="006A548A" w:rsidRDefault="006A548A" w:rsidP="006A548A">
      <w:pPr>
        <w:pStyle w:val="NormalWeb"/>
      </w:pPr>
      <w:proofErr w:type="spellStart"/>
      <w:r>
        <w:rPr>
          <w:rFonts w:ascii="Calibri" w:hAnsi="Calibri"/>
          <w:sz w:val="22"/>
          <w:szCs w:val="22"/>
        </w:rPr>
        <w:lastRenderedPageBreak/>
        <w:t>VaR</w:t>
      </w:r>
      <w:proofErr w:type="spellEnd"/>
      <w:r>
        <w:rPr>
          <w:rFonts w:ascii="Calibri" w:hAnsi="Calibri"/>
          <w:sz w:val="22"/>
          <w:szCs w:val="22"/>
        </w:rPr>
        <w:t xml:space="preserve"> is a well-known and widely adopted measure of risk, in particular for market risk. The Basel II Capital Accord also uses the concept of a 99.9% credit risk </w:t>
      </w:r>
      <w:proofErr w:type="spellStart"/>
      <w:r>
        <w:rPr>
          <w:rFonts w:ascii="Calibri" w:hAnsi="Calibri"/>
          <w:sz w:val="22"/>
          <w:szCs w:val="22"/>
        </w:rPr>
        <w:t>VaR</w:t>
      </w:r>
      <w:proofErr w:type="spellEnd"/>
      <w:r>
        <w:rPr>
          <w:rFonts w:ascii="Calibri" w:hAnsi="Calibri"/>
          <w:sz w:val="22"/>
          <w:szCs w:val="22"/>
        </w:rPr>
        <w:t xml:space="preserve"> and of a 99.9% operational risk </w:t>
      </w:r>
      <w:proofErr w:type="spellStart"/>
      <w:r>
        <w:rPr>
          <w:rFonts w:ascii="Calibri" w:hAnsi="Calibri"/>
          <w:sz w:val="22"/>
          <w:szCs w:val="22"/>
        </w:rPr>
        <w:t>VaR.</w:t>
      </w:r>
      <w:proofErr w:type="spellEnd"/>
      <w:r>
        <w:rPr>
          <w:rFonts w:ascii="Calibri" w:hAnsi="Calibri"/>
          <w:sz w:val="22"/>
          <w:szCs w:val="22"/>
        </w:rPr>
        <w:t xml:space="preserve"> </w:t>
      </w:r>
    </w:p>
    <w:p w:rsidR="006A548A" w:rsidRDefault="006A548A" w:rsidP="006A548A">
      <w:pPr>
        <w:pStyle w:val="NormalWeb"/>
      </w:pPr>
      <w:r>
        <w:rPr>
          <w:rFonts w:ascii="Calibri" w:hAnsi="Calibri"/>
          <w:sz w:val="22"/>
          <w:szCs w:val="22"/>
        </w:rPr>
        <w:t xml:space="preserve">Unfortunately, the </w:t>
      </w:r>
      <w:proofErr w:type="spellStart"/>
      <w:r>
        <w:rPr>
          <w:rFonts w:ascii="Calibri" w:hAnsi="Calibri"/>
          <w:sz w:val="22"/>
          <w:szCs w:val="22"/>
        </w:rPr>
        <w:t>VaR</w:t>
      </w:r>
      <w:proofErr w:type="spellEnd"/>
      <w:r>
        <w:rPr>
          <w:rFonts w:ascii="Calibri" w:hAnsi="Calibri"/>
          <w:sz w:val="22"/>
          <w:szCs w:val="22"/>
        </w:rPr>
        <w:t xml:space="preserve"> measure has important drawbacks. A major drawback is that the </w:t>
      </w:r>
      <w:proofErr w:type="spellStart"/>
      <w:r>
        <w:rPr>
          <w:rFonts w:ascii="Calibri" w:hAnsi="Calibri"/>
          <w:sz w:val="22"/>
          <w:szCs w:val="22"/>
        </w:rPr>
        <w:t>VaR</w:t>
      </w:r>
      <w:proofErr w:type="spellEnd"/>
      <w:r>
        <w:rPr>
          <w:rFonts w:ascii="Calibri" w:hAnsi="Calibri"/>
          <w:sz w:val="22"/>
          <w:szCs w:val="22"/>
        </w:rPr>
        <w:t xml:space="preserve"> does not yield information on the shape of the distribution and no information on the (expected) loss that can happen in </w:t>
      </w:r>
      <w:r>
        <w:rPr>
          <w:rFonts w:ascii="Calibri" w:hAnsi="Calibri"/>
          <w:i/>
          <w:iCs/>
          <w:sz w:val="22"/>
          <w:szCs w:val="22"/>
        </w:rPr>
        <w:t xml:space="preserve">α </w:t>
      </w:r>
      <w:r>
        <w:rPr>
          <w:rFonts w:ascii="Calibri" w:hAnsi="Calibri"/>
          <w:sz w:val="22"/>
          <w:szCs w:val="22"/>
        </w:rPr>
        <w:t xml:space="preserve">per cent of the time when the portfolio loss </w:t>
      </w:r>
      <w:r>
        <w:rPr>
          <w:rFonts w:ascii="Calibri" w:hAnsi="Calibri"/>
          <w:i/>
          <w:iCs/>
          <w:sz w:val="22"/>
          <w:szCs w:val="22"/>
        </w:rPr>
        <w:t xml:space="preserve">L </w:t>
      </w:r>
      <w:r>
        <w:rPr>
          <w:rFonts w:ascii="Calibri" w:hAnsi="Calibri"/>
          <w:sz w:val="22"/>
          <w:szCs w:val="22"/>
        </w:rPr>
        <w:t xml:space="preserve">exceeds the </w:t>
      </w:r>
      <w:proofErr w:type="spellStart"/>
      <w:r>
        <w:rPr>
          <w:rFonts w:ascii="Calibri" w:hAnsi="Calibri"/>
          <w:sz w:val="22"/>
          <w:szCs w:val="22"/>
        </w:rPr>
        <w:t>VaR.</w:t>
      </w:r>
      <w:proofErr w:type="spellEnd"/>
      <w:r>
        <w:rPr>
          <w:rFonts w:ascii="Calibri" w:hAnsi="Calibri"/>
          <w:sz w:val="22"/>
          <w:szCs w:val="22"/>
        </w:rPr>
        <w:t xml:space="preserve"> For credit and operational risk, one typically uses very high confidence levels in the deep tail of the distribution.</w:t>
      </w:r>
      <w:r>
        <w:rPr>
          <w:rFonts w:ascii="Calibri" w:hAnsi="Calibri"/>
          <w:sz w:val="22"/>
          <w:szCs w:val="22"/>
        </w:rPr>
        <w:br/>
        <w:t xml:space="preserve">At these levels, all assumptions regarding correlations and distributions may have an important impact on </w:t>
      </w:r>
      <w:proofErr w:type="spellStart"/>
      <w:r>
        <w:rPr>
          <w:rFonts w:ascii="Calibri" w:hAnsi="Calibri"/>
          <w:sz w:val="22"/>
          <w:szCs w:val="22"/>
        </w:rPr>
        <w:t>VaR.</w:t>
      </w:r>
      <w:proofErr w:type="spellEnd"/>
      <w:r>
        <w:rPr>
          <w:rFonts w:ascii="Calibri" w:hAnsi="Calibri"/>
          <w:sz w:val="22"/>
          <w:szCs w:val="22"/>
        </w:rPr>
        <w:t xml:space="preserve"> The </w:t>
      </w:r>
      <w:proofErr w:type="spellStart"/>
      <w:r>
        <w:rPr>
          <w:rFonts w:ascii="Calibri" w:hAnsi="Calibri"/>
          <w:sz w:val="22"/>
          <w:szCs w:val="22"/>
        </w:rPr>
        <w:t>VaR</w:t>
      </w:r>
      <w:proofErr w:type="spellEnd"/>
      <w:r>
        <w:rPr>
          <w:rFonts w:ascii="Calibri" w:hAnsi="Calibri"/>
          <w:sz w:val="22"/>
          <w:szCs w:val="22"/>
        </w:rPr>
        <w:t xml:space="preserve"> estimate can become unstable at high confidence levels. </w:t>
      </w:r>
    </w:p>
    <w:p w:rsidR="006A548A" w:rsidRDefault="006A548A" w:rsidP="006A548A">
      <w:pPr>
        <w:pStyle w:val="NormalWeb"/>
      </w:pPr>
      <w:r>
        <w:rPr>
          <w:rFonts w:ascii="Calibri" w:hAnsi="Calibri"/>
          <w:sz w:val="22"/>
          <w:szCs w:val="22"/>
        </w:rPr>
        <w:t xml:space="preserve">The economic capital (EC) at a given confidence level </w:t>
      </w:r>
      <w:r>
        <w:rPr>
          <w:rFonts w:ascii="Calibri" w:hAnsi="Calibri"/>
          <w:i/>
          <w:iCs/>
          <w:sz w:val="22"/>
          <w:szCs w:val="22"/>
        </w:rPr>
        <w:t xml:space="preserve">1 − α </w:t>
      </w:r>
      <w:r>
        <w:rPr>
          <w:rFonts w:ascii="Calibri" w:hAnsi="Calibri"/>
          <w:sz w:val="22"/>
          <w:szCs w:val="22"/>
        </w:rPr>
        <w:t xml:space="preserve">is defined as the difference between the value-at-risk and the expected loss: </w:t>
      </w:r>
    </w:p>
    <w:p w:rsidR="006A548A" w:rsidRDefault="006A548A" w:rsidP="006A548A">
      <w:pPr>
        <w:pStyle w:val="NormalWeb"/>
      </w:pPr>
      <w:proofErr w:type="gramStart"/>
      <w:r>
        <w:rPr>
          <w:rFonts w:ascii="Calibri" w:hAnsi="Calibri"/>
          <w:i/>
          <w:iCs/>
          <w:sz w:val="22"/>
          <w:szCs w:val="22"/>
          <w:shd w:val="clear" w:color="auto" w:fill="F2EF8C"/>
        </w:rPr>
        <w:t>EC</w:t>
      </w:r>
      <w:r>
        <w:rPr>
          <w:rFonts w:ascii="Calibri" w:hAnsi="Calibri"/>
          <w:sz w:val="22"/>
          <w:szCs w:val="22"/>
          <w:shd w:val="clear" w:color="auto" w:fill="F2EF8C"/>
        </w:rPr>
        <w:t>(</w:t>
      </w:r>
      <w:proofErr w:type="gramEnd"/>
      <w:r>
        <w:rPr>
          <w:rFonts w:ascii="SymbolMT" w:hAnsi="SymbolMT"/>
          <w:sz w:val="22"/>
          <w:szCs w:val="22"/>
          <w:shd w:val="clear" w:color="auto" w:fill="F2EF8C"/>
        </w:rPr>
        <w:t>α</w:t>
      </w:r>
      <w:r>
        <w:rPr>
          <w:rFonts w:ascii="Calibri" w:hAnsi="Calibri"/>
          <w:sz w:val="22"/>
          <w:szCs w:val="22"/>
          <w:shd w:val="clear" w:color="auto" w:fill="F2EF8C"/>
        </w:rPr>
        <w:t xml:space="preserve">) = </w:t>
      </w:r>
      <w:proofErr w:type="spellStart"/>
      <w:r>
        <w:rPr>
          <w:rFonts w:ascii="Calibri" w:hAnsi="Calibri"/>
          <w:i/>
          <w:iCs/>
          <w:sz w:val="22"/>
          <w:szCs w:val="22"/>
          <w:shd w:val="clear" w:color="auto" w:fill="F2EF8C"/>
        </w:rPr>
        <w:t>VaR</w:t>
      </w:r>
      <w:proofErr w:type="spellEnd"/>
      <w:r>
        <w:rPr>
          <w:rFonts w:ascii="Calibri" w:hAnsi="Calibri"/>
          <w:sz w:val="22"/>
          <w:szCs w:val="22"/>
          <w:shd w:val="clear" w:color="auto" w:fill="F2EF8C"/>
        </w:rPr>
        <w:t>(</w:t>
      </w:r>
      <w:r>
        <w:rPr>
          <w:rFonts w:ascii="SymbolMT" w:hAnsi="SymbolMT"/>
          <w:sz w:val="22"/>
          <w:szCs w:val="22"/>
          <w:shd w:val="clear" w:color="auto" w:fill="F2EF8C"/>
        </w:rPr>
        <w:t>α</w:t>
      </w:r>
      <w:r>
        <w:rPr>
          <w:rFonts w:ascii="Calibri" w:hAnsi="Calibri"/>
          <w:sz w:val="22"/>
          <w:szCs w:val="22"/>
          <w:shd w:val="clear" w:color="auto" w:fill="F2EF8C"/>
        </w:rPr>
        <w:t xml:space="preserve">) </w:t>
      </w:r>
      <w:r>
        <w:rPr>
          <w:rFonts w:ascii="Calibri" w:hAnsi="Calibri"/>
          <w:i/>
          <w:iCs/>
          <w:sz w:val="22"/>
          <w:szCs w:val="22"/>
          <w:shd w:val="clear" w:color="auto" w:fill="F2EF8C"/>
        </w:rPr>
        <w:t xml:space="preserve">– EL </w:t>
      </w:r>
    </w:p>
    <w:p w:rsidR="006A548A" w:rsidRDefault="006A548A" w:rsidP="006A548A">
      <w:pPr>
        <w:pStyle w:val="NormalWeb"/>
      </w:pPr>
      <w:r>
        <w:rPr>
          <w:rFonts w:ascii="Calibri" w:hAnsi="Calibri"/>
          <w:sz w:val="22"/>
          <w:szCs w:val="22"/>
        </w:rPr>
        <w:t xml:space="preserve">It measures the capital required to support the risks of the portfolio. As the EC measure is based on the </w:t>
      </w:r>
      <w:proofErr w:type="spellStart"/>
      <w:r>
        <w:rPr>
          <w:rFonts w:ascii="Calibri" w:hAnsi="Calibri"/>
          <w:sz w:val="22"/>
          <w:szCs w:val="22"/>
        </w:rPr>
        <w:t>VaR</w:t>
      </w:r>
      <w:proofErr w:type="spellEnd"/>
      <w:r>
        <w:rPr>
          <w:rFonts w:ascii="Calibri" w:hAnsi="Calibri"/>
          <w:sz w:val="22"/>
          <w:szCs w:val="22"/>
        </w:rPr>
        <w:t xml:space="preserve"> measure, it has the same properties. In some applications, managers use a capital multiplier </w:t>
      </w:r>
      <w:r>
        <w:rPr>
          <w:rFonts w:ascii="Calibri" w:hAnsi="Calibri"/>
          <w:i/>
          <w:iCs/>
          <w:sz w:val="22"/>
          <w:szCs w:val="22"/>
        </w:rPr>
        <w:t xml:space="preserve">mα </w:t>
      </w:r>
      <w:r>
        <w:rPr>
          <w:rFonts w:ascii="Calibri" w:hAnsi="Calibri"/>
          <w:sz w:val="22"/>
          <w:szCs w:val="22"/>
        </w:rPr>
        <w:t xml:space="preserve">to approximate the economic capital as a multiple of the loss standard </w:t>
      </w:r>
    </w:p>
    <w:p w:rsidR="006A548A" w:rsidRDefault="006A548A" w:rsidP="006A548A">
      <w:pPr>
        <w:pStyle w:val="NormalWeb"/>
      </w:pPr>
      <w:r>
        <w:rPr>
          <w:rFonts w:ascii="Calibri" w:hAnsi="Calibri"/>
          <w:sz w:val="22"/>
          <w:szCs w:val="22"/>
        </w:rPr>
        <w:t xml:space="preserve">For a normal distribution, the capital multiplier at 99%, 99.9% and 99.99% is equal to 2.3, 3.1 and 3.7, respectively. For more fat-tailed distributions, </w:t>
      </w:r>
      <w:proofErr w:type="gramStart"/>
      <w:r>
        <w:rPr>
          <w:rFonts w:ascii="Calibri" w:hAnsi="Calibri"/>
          <w:sz w:val="22"/>
          <w:szCs w:val="22"/>
        </w:rPr>
        <w:t>capital multipliers between 5 and 15 have been used by various institutions</w:t>
      </w:r>
      <w:proofErr w:type="gramEnd"/>
      <w:r>
        <w:rPr>
          <w:rFonts w:ascii="Calibri" w:hAnsi="Calibri"/>
          <w:sz w:val="22"/>
          <w:szCs w:val="22"/>
        </w:rPr>
        <w:t xml:space="preserve">. </w:t>
      </w:r>
    </w:p>
    <w:p w:rsidR="00F85D34" w:rsidRDefault="00F85D34"/>
    <w:sectPr w:rsidR="00F85D34" w:rsidSect="00F85D3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8A"/>
    <w:rsid w:val="006A548A"/>
    <w:rsid w:val="00F8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08C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8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48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75025">
      <w:bodyDiv w:val="1"/>
      <w:marLeft w:val="0"/>
      <w:marRight w:val="0"/>
      <w:marTop w:val="0"/>
      <w:marBottom w:val="0"/>
      <w:divBdr>
        <w:top w:val="none" w:sz="0" w:space="0" w:color="auto"/>
        <w:left w:val="none" w:sz="0" w:space="0" w:color="auto"/>
        <w:bottom w:val="none" w:sz="0" w:space="0" w:color="auto"/>
        <w:right w:val="none" w:sz="0" w:space="0" w:color="auto"/>
      </w:divBdr>
      <w:divsChild>
        <w:div w:id="189496339">
          <w:marLeft w:val="0"/>
          <w:marRight w:val="0"/>
          <w:marTop w:val="0"/>
          <w:marBottom w:val="0"/>
          <w:divBdr>
            <w:top w:val="none" w:sz="0" w:space="0" w:color="auto"/>
            <w:left w:val="none" w:sz="0" w:space="0" w:color="auto"/>
            <w:bottom w:val="none" w:sz="0" w:space="0" w:color="auto"/>
            <w:right w:val="none" w:sz="0" w:space="0" w:color="auto"/>
          </w:divBdr>
          <w:divsChild>
            <w:div w:id="539706048">
              <w:marLeft w:val="0"/>
              <w:marRight w:val="0"/>
              <w:marTop w:val="0"/>
              <w:marBottom w:val="0"/>
              <w:divBdr>
                <w:top w:val="none" w:sz="0" w:space="0" w:color="auto"/>
                <w:left w:val="none" w:sz="0" w:space="0" w:color="auto"/>
                <w:bottom w:val="none" w:sz="0" w:space="0" w:color="auto"/>
                <w:right w:val="none" w:sz="0" w:space="0" w:color="auto"/>
              </w:divBdr>
              <w:divsChild>
                <w:div w:id="1912276196">
                  <w:marLeft w:val="0"/>
                  <w:marRight w:val="0"/>
                  <w:marTop w:val="0"/>
                  <w:marBottom w:val="0"/>
                  <w:divBdr>
                    <w:top w:val="none" w:sz="0" w:space="0" w:color="auto"/>
                    <w:left w:val="none" w:sz="0" w:space="0" w:color="auto"/>
                    <w:bottom w:val="none" w:sz="0" w:space="0" w:color="auto"/>
                    <w:right w:val="none" w:sz="0" w:space="0" w:color="auto"/>
                  </w:divBdr>
                </w:div>
              </w:divsChild>
            </w:div>
            <w:div w:id="347369567">
              <w:marLeft w:val="0"/>
              <w:marRight w:val="0"/>
              <w:marTop w:val="0"/>
              <w:marBottom w:val="0"/>
              <w:divBdr>
                <w:top w:val="none" w:sz="0" w:space="0" w:color="auto"/>
                <w:left w:val="none" w:sz="0" w:space="0" w:color="auto"/>
                <w:bottom w:val="none" w:sz="0" w:space="0" w:color="auto"/>
                <w:right w:val="none" w:sz="0" w:space="0" w:color="auto"/>
              </w:divBdr>
              <w:divsChild>
                <w:div w:id="1279293242">
                  <w:marLeft w:val="0"/>
                  <w:marRight w:val="0"/>
                  <w:marTop w:val="0"/>
                  <w:marBottom w:val="0"/>
                  <w:divBdr>
                    <w:top w:val="none" w:sz="0" w:space="0" w:color="auto"/>
                    <w:left w:val="none" w:sz="0" w:space="0" w:color="auto"/>
                    <w:bottom w:val="none" w:sz="0" w:space="0" w:color="auto"/>
                    <w:right w:val="none" w:sz="0" w:space="0" w:color="auto"/>
                  </w:divBdr>
                </w:div>
              </w:divsChild>
            </w:div>
            <w:div w:id="30958582">
              <w:marLeft w:val="0"/>
              <w:marRight w:val="0"/>
              <w:marTop w:val="0"/>
              <w:marBottom w:val="0"/>
              <w:divBdr>
                <w:top w:val="none" w:sz="0" w:space="0" w:color="auto"/>
                <w:left w:val="none" w:sz="0" w:space="0" w:color="auto"/>
                <w:bottom w:val="none" w:sz="0" w:space="0" w:color="auto"/>
                <w:right w:val="none" w:sz="0" w:space="0" w:color="auto"/>
              </w:divBdr>
              <w:divsChild>
                <w:div w:id="2883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189">
          <w:marLeft w:val="0"/>
          <w:marRight w:val="0"/>
          <w:marTop w:val="0"/>
          <w:marBottom w:val="0"/>
          <w:divBdr>
            <w:top w:val="none" w:sz="0" w:space="0" w:color="auto"/>
            <w:left w:val="none" w:sz="0" w:space="0" w:color="auto"/>
            <w:bottom w:val="none" w:sz="0" w:space="0" w:color="auto"/>
            <w:right w:val="none" w:sz="0" w:space="0" w:color="auto"/>
          </w:divBdr>
          <w:divsChild>
            <w:div w:id="1321424665">
              <w:marLeft w:val="0"/>
              <w:marRight w:val="0"/>
              <w:marTop w:val="0"/>
              <w:marBottom w:val="0"/>
              <w:divBdr>
                <w:top w:val="none" w:sz="0" w:space="0" w:color="auto"/>
                <w:left w:val="none" w:sz="0" w:space="0" w:color="auto"/>
                <w:bottom w:val="none" w:sz="0" w:space="0" w:color="auto"/>
                <w:right w:val="none" w:sz="0" w:space="0" w:color="auto"/>
              </w:divBdr>
              <w:divsChild>
                <w:div w:id="462886001">
                  <w:marLeft w:val="0"/>
                  <w:marRight w:val="0"/>
                  <w:marTop w:val="0"/>
                  <w:marBottom w:val="0"/>
                  <w:divBdr>
                    <w:top w:val="none" w:sz="0" w:space="0" w:color="auto"/>
                    <w:left w:val="none" w:sz="0" w:space="0" w:color="auto"/>
                    <w:bottom w:val="none" w:sz="0" w:space="0" w:color="auto"/>
                    <w:right w:val="none" w:sz="0" w:space="0" w:color="auto"/>
                  </w:divBdr>
                </w:div>
              </w:divsChild>
            </w:div>
            <w:div w:id="268321700">
              <w:marLeft w:val="0"/>
              <w:marRight w:val="0"/>
              <w:marTop w:val="0"/>
              <w:marBottom w:val="0"/>
              <w:divBdr>
                <w:top w:val="none" w:sz="0" w:space="0" w:color="auto"/>
                <w:left w:val="none" w:sz="0" w:space="0" w:color="auto"/>
                <w:bottom w:val="none" w:sz="0" w:space="0" w:color="auto"/>
                <w:right w:val="none" w:sz="0" w:space="0" w:color="auto"/>
              </w:divBdr>
              <w:divsChild>
                <w:div w:id="2132898301">
                  <w:marLeft w:val="0"/>
                  <w:marRight w:val="0"/>
                  <w:marTop w:val="0"/>
                  <w:marBottom w:val="0"/>
                  <w:divBdr>
                    <w:top w:val="none" w:sz="0" w:space="0" w:color="auto"/>
                    <w:left w:val="none" w:sz="0" w:space="0" w:color="auto"/>
                    <w:bottom w:val="none" w:sz="0" w:space="0" w:color="auto"/>
                    <w:right w:val="none" w:sz="0" w:space="0" w:color="auto"/>
                  </w:divBdr>
                </w:div>
              </w:divsChild>
            </w:div>
            <w:div w:id="173806755">
              <w:marLeft w:val="0"/>
              <w:marRight w:val="0"/>
              <w:marTop w:val="0"/>
              <w:marBottom w:val="0"/>
              <w:divBdr>
                <w:top w:val="none" w:sz="0" w:space="0" w:color="auto"/>
                <w:left w:val="none" w:sz="0" w:space="0" w:color="auto"/>
                <w:bottom w:val="none" w:sz="0" w:space="0" w:color="auto"/>
                <w:right w:val="none" w:sz="0" w:space="0" w:color="auto"/>
              </w:divBdr>
              <w:divsChild>
                <w:div w:id="19754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6675">
          <w:marLeft w:val="0"/>
          <w:marRight w:val="0"/>
          <w:marTop w:val="0"/>
          <w:marBottom w:val="0"/>
          <w:divBdr>
            <w:top w:val="none" w:sz="0" w:space="0" w:color="auto"/>
            <w:left w:val="none" w:sz="0" w:space="0" w:color="auto"/>
            <w:bottom w:val="none" w:sz="0" w:space="0" w:color="auto"/>
            <w:right w:val="none" w:sz="0" w:space="0" w:color="auto"/>
          </w:divBdr>
          <w:divsChild>
            <w:div w:id="468018731">
              <w:marLeft w:val="0"/>
              <w:marRight w:val="0"/>
              <w:marTop w:val="0"/>
              <w:marBottom w:val="0"/>
              <w:divBdr>
                <w:top w:val="none" w:sz="0" w:space="0" w:color="auto"/>
                <w:left w:val="none" w:sz="0" w:space="0" w:color="auto"/>
                <w:bottom w:val="none" w:sz="0" w:space="0" w:color="auto"/>
                <w:right w:val="none" w:sz="0" w:space="0" w:color="auto"/>
              </w:divBdr>
              <w:divsChild>
                <w:div w:id="955671846">
                  <w:marLeft w:val="0"/>
                  <w:marRight w:val="0"/>
                  <w:marTop w:val="0"/>
                  <w:marBottom w:val="0"/>
                  <w:divBdr>
                    <w:top w:val="none" w:sz="0" w:space="0" w:color="auto"/>
                    <w:left w:val="none" w:sz="0" w:space="0" w:color="auto"/>
                    <w:bottom w:val="none" w:sz="0" w:space="0" w:color="auto"/>
                    <w:right w:val="none" w:sz="0" w:space="0" w:color="auto"/>
                  </w:divBdr>
                </w:div>
              </w:divsChild>
            </w:div>
            <w:div w:id="766929872">
              <w:marLeft w:val="0"/>
              <w:marRight w:val="0"/>
              <w:marTop w:val="0"/>
              <w:marBottom w:val="0"/>
              <w:divBdr>
                <w:top w:val="none" w:sz="0" w:space="0" w:color="auto"/>
                <w:left w:val="none" w:sz="0" w:space="0" w:color="auto"/>
                <w:bottom w:val="none" w:sz="0" w:space="0" w:color="auto"/>
                <w:right w:val="none" w:sz="0" w:space="0" w:color="auto"/>
              </w:divBdr>
              <w:divsChild>
                <w:div w:id="545681857">
                  <w:marLeft w:val="0"/>
                  <w:marRight w:val="0"/>
                  <w:marTop w:val="0"/>
                  <w:marBottom w:val="0"/>
                  <w:divBdr>
                    <w:top w:val="none" w:sz="0" w:space="0" w:color="auto"/>
                    <w:left w:val="none" w:sz="0" w:space="0" w:color="auto"/>
                    <w:bottom w:val="none" w:sz="0" w:space="0" w:color="auto"/>
                    <w:right w:val="none" w:sz="0" w:space="0" w:color="auto"/>
                  </w:divBdr>
                </w:div>
              </w:divsChild>
            </w:div>
            <w:div w:id="732241492">
              <w:marLeft w:val="0"/>
              <w:marRight w:val="0"/>
              <w:marTop w:val="0"/>
              <w:marBottom w:val="0"/>
              <w:divBdr>
                <w:top w:val="none" w:sz="0" w:space="0" w:color="auto"/>
                <w:left w:val="none" w:sz="0" w:space="0" w:color="auto"/>
                <w:bottom w:val="none" w:sz="0" w:space="0" w:color="auto"/>
                <w:right w:val="none" w:sz="0" w:space="0" w:color="auto"/>
              </w:divBdr>
              <w:divsChild>
                <w:div w:id="7886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1533">
          <w:marLeft w:val="0"/>
          <w:marRight w:val="0"/>
          <w:marTop w:val="0"/>
          <w:marBottom w:val="0"/>
          <w:divBdr>
            <w:top w:val="none" w:sz="0" w:space="0" w:color="auto"/>
            <w:left w:val="none" w:sz="0" w:space="0" w:color="auto"/>
            <w:bottom w:val="none" w:sz="0" w:space="0" w:color="auto"/>
            <w:right w:val="none" w:sz="0" w:space="0" w:color="auto"/>
          </w:divBdr>
          <w:divsChild>
            <w:div w:id="296032259">
              <w:marLeft w:val="0"/>
              <w:marRight w:val="0"/>
              <w:marTop w:val="0"/>
              <w:marBottom w:val="0"/>
              <w:divBdr>
                <w:top w:val="none" w:sz="0" w:space="0" w:color="auto"/>
                <w:left w:val="none" w:sz="0" w:space="0" w:color="auto"/>
                <w:bottom w:val="none" w:sz="0" w:space="0" w:color="auto"/>
                <w:right w:val="none" w:sz="0" w:space="0" w:color="auto"/>
              </w:divBdr>
              <w:divsChild>
                <w:div w:id="5920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3774</Characters>
  <Application>Microsoft Macintosh Word</Application>
  <DocSecurity>0</DocSecurity>
  <Lines>31</Lines>
  <Paragraphs>8</Paragraphs>
  <ScaleCrop>false</ScaleCrop>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Russell</dc:creator>
  <cp:keywords/>
  <dc:description/>
  <cp:lastModifiedBy>Victoria Russell</cp:lastModifiedBy>
  <cp:revision>1</cp:revision>
  <dcterms:created xsi:type="dcterms:W3CDTF">2016-10-01T04:22:00Z</dcterms:created>
  <dcterms:modified xsi:type="dcterms:W3CDTF">2016-10-01T04:23:00Z</dcterms:modified>
</cp:coreProperties>
</file>