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35" w:rsidRPr="00700D4F" w:rsidRDefault="00657935" w:rsidP="00657935">
      <w:pPr>
        <w:shd w:val="clear" w:color="auto" w:fill="FFFFFF"/>
        <w:spacing w:after="0" w:line="240" w:lineRule="auto"/>
        <w:rPr>
          <w:rFonts w:ascii="Times New Roman" w:hAnsi="Times New Roman" w:cs="Times New Roman"/>
          <w:b/>
          <w:color w:val="000000"/>
          <w:sz w:val="28"/>
          <w:szCs w:val="28"/>
          <w:shd w:val="clear" w:color="auto" w:fill="FFFFFF"/>
        </w:rPr>
      </w:pPr>
      <w:r w:rsidRPr="00700D4F">
        <w:rPr>
          <w:rFonts w:ascii="Times New Roman" w:hAnsi="Times New Roman" w:cs="Times New Roman"/>
          <w:b/>
          <w:color w:val="000000"/>
          <w:sz w:val="28"/>
          <w:szCs w:val="28"/>
          <w:shd w:val="clear" w:color="auto" w:fill="FFFFFF"/>
        </w:rPr>
        <w:t>Discussion 1</w:t>
      </w:r>
      <w:r w:rsidR="00EE076E" w:rsidRPr="00700D4F">
        <w:rPr>
          <w:rFonts w:ascii="Times New Roman" w:hAnsi="Times New Roman" w:cs="Times New Roman"/>
          <w:b/>
          <w:color w:val="000000"/>
          <w:sz w:val="28"/>
          <w:szCs w:val="28"/>
          <w:shd w:val="clear" w:color="auto" w:fill="FFFFFF"/>
        </w:rPr>
        <w:t xml:space="preserve"> – </w:t>
      </w:r>
      <w:r w:rsidR="00700D4F" w:rsidRPr="00700D4F">
        <w:rPr>
          <w:rFonts w:ascii="Times New Roman" w:hAnsi="Times New Roman" w:cs="Times New Roman"/>
          <w:b/>
          <w:color w:val="000000"/>
          <w:sz w:val="28"/>
          <w:szCs w:val="28"/>
          <w:shd w:val="clear" w:color="auto" w:fill="FFFFFF"/>
        </w:rPr>
        <w:t>200-word</w:t>
      </w:r>
      <w:r w:rsidR="00EE076E" w:rsidRPr="00700D4F">
        <w:rPr>
          <w:rFonts w:ascii="Times New Roman" w:hAnsi="Times New Roman" w:cs="Times New Roman"/>
          <w:b/>
          <w:color w:val="000000"/>
          <w:sz w:val="28"/>
          <w:szCs w:val="28"/>
          <w:shd w:val="clear" w:color="auto" w:fill="FFFFFF"/>
        </w:rPr>
        <w:t xml:space="preserve"> minimum</w:t>
      </w:r>
    </w:p>
    <w:p w:rsidR="00657935" w:rsidRPr="00EE076E" w:rsidRDefault="00657935" w:rsidP="00657935">
      <w:pPr>
        <w:shd w:val="clear" w:color="auto" w:fill="FFFFFF"/>
        <w:spacing w:after="0" w:line="240" w:lineRule="auto"/>
        <w:rPr>
          <w:rFonts w:ascii="Times New Roman" w:hAnsi="Times New Roman" w:cs="Times New Roman"/>
          <w:color w:val="000000"/>
          <w:sz w:val="28"/>
          <w:szCs w:val="28"/>
          <w:shd w:val="clear" w:color="auto" w:fill="FFFFFF"/>
        </w:rPr>
      </w:pPr>
    </w:p>
    <w:p w:rsidR="00657935" w:rsidRPr="00EE076E" w:rsidRDefault="00657935" w:rsidP="00657935">
      <w:pPr>
        <w:shd w:val="clear" w:color="auto" w:fill="FFFFFF"/>
        <w:spacing w:after="0" w:line="240" w:lineRule="auto"/>
        <w:rPr>
          <w:rFonts w:ascii="Times New Roman" w:hAnsi="Times New Roman" w:cs="Times New Roman"/>
          <w:color w:val="000000"/>
          <w:sz w:val="28"/>
          <w:szCs w:val="28"/>
          <w:shd w:val="clear" w:color="auto" w:fill="FFFFFF"/>
        </w:rPr>
      </w:pPr>
      <w:r w:rsidRPr="00EE076E">
        <w:rPr>
          <w:rFonts w:ascii="Times New Roman" w:hAnsi="Times New Roman" w:cs="Times New Roman"/>
          <w:color w:val="000000"/>
          <w:sz w:val="28"/>
          <w:szCs w:val="28"/>
          <w:shd w:val="clear" w:color="auto" w:fill="FFFFFF"/>
        </w:rPr>
        <w:t>What are the implications of other nations acquiring a large amount of U.S. Treasury bills on the U.S. exchange rates? If China did this would it increase their military position in Asia? If you were in Congress, how would you negotiate trade agreements to mitigate against adverse consequences?</w:t>
      </w:r>
    </w:p>
    <w:p w:rsidR="00657935" w:rsidRPr="00EE076E" w:rsidRDefault="00657935" w:rsidP="00657935">
      <w:pPr>
        <w:shd w:val="clear" w:color="auto" w:fill="FFFFFF"/>
        <w:spacing w:after="0" w:line="240" w:lineRule="auto"/>
        <w:rPr>
          <w:rFonts w:ascii="Times New Roman" w:eastAsia="Times New Roman" w:hAnsi="Times New Roman" w:cs="Times New Roman"/>
          <w:color w:val="000000"/>
          <w:sz w:val="28"/>
          <w:szCs w:val="28"/>
        </w:rPr>
      </w:pPr>
    </w:p>
    <w:p w:rsidR="00657935" w:rsidRPr="00EE076E" w:rsidRDefault="00657935" w:rsidP="00657935">
      <w:pPr>
        <w:shd w:val="clear" w:color="auto" w:fill="FFFFFF"/>
        <w:spacing w:after="0" w:line="240" w:lineRule="auto"/>
        <w:rPr>
          <w:rFonts w:ascii="Times New Roman" w:eastAsia="Times New Roman" w:hAnsi="Times New Roman" w:cs="Times New Roman"/>
          <w:color w:val="000000"/>
          <w:sz w:val="28"/>
          <w:szCs w:val="28"/>
        </w:rPr>
      </w:pPr>
      <w:r w:rsidRPr="00EE076E">
        <w:rPr>
          <w:rFonts w:ascii="Times New Roman" w:eastAsia="Times New Roman" w:hAnsi="Times New Roman" w:cs="Times New Roman"/>
          <w:color w:val="000000"/>
          <w:sz w:val="28"/>
          <w:szCs w:val="28"/>
        </w:rPr>
        <w:t xml:space="preserve">"What are the </w:t>
      </w:r>
      <w:r w:rsidRPr="00EE076E">
        <w:rPr>
          <w:rFonts w:ascii="Times New Roman" w:eastAsia="Times New Roman" w:hAnsi="Times New Roman" w:cs="Times New Roman"/>
          <w:b/>
          <w:bCs/>
          <w:color w:val="000000"/>
          <w:sz w:val="28"/>
          <w:szCs w:val="28"/>
        </w:rPr>
        <w:t>implications </w:t>
      </w:r>
      <w:r w:rsidRPr="00EE076E">
        <w:rPr>
          <w:rFonts w:ascii="Times New Roman" w:eastAsia="Times New Roman" w:hAnsi="Times New Roman" w:cs="Times New Roman"/>
          <w:color w:val="000000"/>
          <w:sz w:val="28"/>
          <w:szCs w:val="28"/>
        </w:rPr>
        <w:t>of </w:t>
      </w:r>
      <w:r w:rsidRPr="00EE076E">
        <w:rPr>
          <w:rFonts w:ascii="Times New Roman" w:eastAsia="Times New Roman" w:hAnsi="Times New Roman" w:cs="Times New Roman"/>
          <w:b/>
          <w:bCs/>
          <w:color w:val="000000"/>
          <w:sz w:val="28"/>
          <w:szCs w:val="28"/>
        </w:rPr>
        <w:t>other nations </w:t>
      </w:r>
      <w:r w:rsidRPr="00EE076E">
        <w:rPr>
          <w:rFonts w:ascii="Times New Roman" w:eastAsia="Times New Roman" w:hAnsi="Times New Roman" w:cs="Times New Roman"/>
          <w:color w:val="000000"/>
          <w:sz w:val="28"/>
          <w:szCs w:val="28"/>
        </w:rPr>
        <w:t>acquiring a large amount of </w:t>
      </w:r>
      <w:r w:rsidRPr="00EE076E">
        <w:rPr>
          <w:rFonts w:ascii="Times New Roman" w:eastAsia="Times New Roman" w:hAnsi="Times New Roman" w:cs="Times New Roman"/>
          <w:b/>
          <w:bCs/>
          <w:color w:val="000000"/>
          <w:sz w:val="28"/>
          <w:szCs w:val="28"/>
        </w:rPr>
        <w:t>U.S. Treasury bills</w:t>
      </w:r>
      <w:r w:rsidRPr="00EE076E">
        <w:rPr>
          <w:rFonts w:ascii="Times New Roman" w:eastAsia="Times New Roman" w:hAnsi="Times New Roman" w:cs="Times New Roman"/>
          <w:color w:val="000000"/>
          <w:sz w:val="28"/>
          <w:szCs w:val="28"/>
        </w:rPr>
        <w:t> on the </w:t>
      </w:r>
      <w:r w:rsidRPr="00EE076E">
        <w:rPr>
          <w:rFonts w:ascii="Times New Roman" w:eastAsia="Times New Roman" w:hAnsi="Times New Roman" w:cs="Times New Roman"/>
          <w:b/>
          <w:bCs/>
          <w:color w:val="000000"/>
          <w:sz w:val="28"/>
          <w:szCs w:val="28"/>
        </w:rPr>
        <w:t>U.S. exchange rates</w:t>
      </w:r>
      <w:r w:rsidRPr="00EE076E">
        <w:rPr>
          <w:rFonts w:ascii="Times New Roman" w:eastAsia="Times New Roman" w:hAnsi="Times New Roman" w:cs="Times New Roman"/>
          <w:color w:val="000000"/>
          <w:sz w:val="28"/>
          <w:szCs w:val="28"/>
        </w:rPr>
        <w:t xml:space="preserve">?"  </w:t>
      </w:r>
      <w:r w:rsidR="00EE076E" w:rsidRPr="00EE076E">
        <w:rPr>
          <w:rFonts w:ascii="Times New Roman" w:eastAsia="Times New Roman" w:hAnsi="Times New Roman" w:cs="Times New Roman"/>
          <w:color w:val="000000"/>
          <w:sz w:val="28"/>
          <w:szCs w:val="28"/>
        </w:rPr>
        <w:t>Analyze</w:t>
      </w:r>
      <w:r w:rsidRPr="00EE076E">
        <w:rPr>
          <w:rFonts w:ascii="Times New Roman" w:eastAsia="Times New Roman" w:hAnsi="Times New Roman" w:cs="Times New Roman"/>
          <w:color w:val="000000"/>
          <w:sz w:val="28"/>
          <w:szCs w:val="28"/>
        </w:rPr>
        <w:t xml:space="preserve"> the question in terms of the key elements in </w:t>
      </w:r>
      <w:r w:rsidRPr="00EE076E">
        <w:rPr>
          <w:rFonts w:ascii="Times New Roman" w:eastAsia="Times New Roman" w:hAnsi="Times New Roman" w:cs="Times New Roman"/>
          <w:b/>
          <w:color w:val="000000"/>
          <w:sz w:val="28"/>
          <w:szCs w:val="28"/>
        </w:rPr>
        <w:t>bold</w:t>
      </w:r>
      <w:r w:rsidRPr="00EE076E">
        <w:rPr>
          <w:rFonts w:ascii="Times New Roman" w:eastAsia="Times New Roman" w:hAnsi="Times New Roman" w:cs="Times New Roman"/>
          <w:color w:val="000000"/>
          <w:sz w:val="28"/>
          <w:szCs w:val="28"/>
        </w:rPr>
        <w:t xml:space="preserve">.  </w:t>
      </w:r>
      <w:r w:rsidR="00EE076E" w:rsidRPr="00EE076E">
        <w:rPr>
          <w:rFonts w:ascii="Times New Roman" w:eastAsia="Times New Roman" w:hAnsi="Times New Roman" w:cs="Times New Roman"/>
          <w:color w:val="000000"/>
          <w:sz w:val="28"/>
          <w:szCs w:val="28"/>
        </w:rPr>
        <w:t xml:space="preserve">Then </w:t>
      </w:r>
      <w:r w:rsidRPr="00EE076E">
        <w:rPr>
          <w:rFonts w:ascii="Times New Roman" w:eastAsia="Times New Roman" w:hAnsi="Times New Roman" w:cs="Times New Roman"/>
          <w:color w:val="000000"/>
          <w:sz w:val="28"/>
          <w:szCs w:val="28"/>
        </w:rPr>
        <w:t xml:space="preserve">expand this line of thought to consider the implications for the capital and financial accounts and the current account. </w:t>
      </w:r>
      <w:r w:rsidR="00700D4F">
        <w:rPr>
          <w:rFonts w:ascii="Times New Roman" w:eastAsia="Times New Roman" w:hAnsi="Times New Roman" w:cs="Times New Roman"/>
          <w:color w:val="000000"/>
          <w:sz w:val="28"/>
          <w:szCs w:val="28"/>
        </w:rPr>
        <w:t xml:space="preserve">Then </w:t>
      </w:r>
      <w:r w:rsidR="00700D4F" w:rsidRPr="00EE076E">
        <w:rPr>
          <w:rFonts w:ascii="Times New Roman" w:eastAsia="Times New Roman" w:hAnsi="Times New Roman" w:cs="Times New Roman"/>
          <w:color w:val="000000"/>
          <w:sz w:val="28"/>
          <w:szCs w:val="28"/>
        </w:rPr>
        <w:t>continue</w:t>
      </w:r>
      <w:r w:rsidR="00700D4F">
        <w:rPr>
          <w:rFonts w:ascii="Times New Roman" w:eastAsia="Times New Roman" w:hAnsi="Times New Roman" w:cs="Times New Roman"/>
          <w:color w:val="000000"/>
          <w:sz w:val="28"/>
          <w:szCs w:val="28"/>
        </w:rPr>
        <w:t xml:space="preserve"> on going </w:t>
      </w:r>
      <w:r w:rsidRPr="00EE076E">
        <w:rPr>
          <w:rFonts w:ascii="Times New Roman" w:eastAsia="Times New Roman" w:hAnsi="Times New Roman" w:cs="Times New Roman"/>
          <w:color w:val="000000"/>
          <w:sz w:val="28"/>
          <w:szCs w:val="28"/>
        </w:rPr>
        <w:t xml:space="preserve">into the implications for Congressional policy </w:t>
      </w:r>
      <w:r w:rsidR="00700D4F" w:rsidRPr="00EE076E">
        <w:rPr>
          <w:rFonts w:ascii="Times New Roman" w:eastAsia="Times New Roman" w:hAnsi="Times New Roman" w:cs="Times New Roman"/>
          <w:color w:val="000000"/>
          <w:sz w:val="28"/>
          <w:szCs w:val="28"/>
        </w:rPr>
        <w:t>making...</w:t>
      </w:r>
      <w:r w:rsidRPr="00EE076E">
        <w:rPr>
          <w:rFonts w:ascii="Times New Roman" w:eastAsia="Times New Roman" w:hAnsi="Times New Roman" w:cs="Times New Roman"/>
          <w:color w:val="000000"/>
          <w:sz w:val="28"/>
          <w:szCs w:val="28"/>
        </w:rPr>
        <w:t xml:space="preserve"> keep</w:t>
      </w:r>
      <w:r w:rsidR="00700D4F">
        <w:rPr>
          <w:rFonts w:ascii="Times New Roman" w:eastAsia="Times New Roman" w:hAnsi="Times New Roman" w:cs="Times New Roman"/>
          <w:color w:val="000000"/>
          <w:sz w:val="28"/>
          <w:szCs w:val="28"/>
        </w:rPr>
        <w:t>ing the</w:t>
      </w:r>
      <w:r w:rsidRPr="00EE076E">
        <w:rPr>
          <w:rFonts w:ascii="Times New Roman" w:eastAsia="Times New Roman" w:hAnsi="Times New Roman" w:cs="Times New Roman"/>
          <w:color w:val="000000"/>
          <w:sz w:val="28"/>
          <w:szCs w:val="28"/>
        </w:rPr>
        <w:t xml:space="preserve"> focus upon the economic rather than the political.</w:t>
      </w:r>
      <w:r w:rsidRPr="00EE076E">
        <w:rPr>
          <w:rFonts w:ascii="Times New Roman" w:eastAsia="Times New Roman" w:hAnsi="Times New Roman" w:cs="Times New Roman"/>
          <w:color w:val="000000"/>
          <w:sz w:val="28"/>
          <w:szCs w:val="28"/>
        </w:rPr>
        <w:br/>
      </w:r>
      <w:r w:rsidRPr="00EE076E">
        <w:rPr>
          <w:rFonts w:ascii="Times New Roman" w:eastAsia="Times New Roman" w:hAnsi="Times New Roman" w:cs="Times New Roman"/>
          <w:color w:val="000000"/>
          <w:sz w:val="28"/>
          <w:szCs w:val="28"/>
        </w:rPr>
        <w:br/>
        <w:t xml:space="preserve">Please review </w:t>
      </w:r>
      <w:r w:rsidR="00EE076E" w:rsidRPr="00EE076E">
        <w:rPr>
          <w:rFonts w:ascii="Times New Roman" w:eastAsia="Times New Roman" w:hAnsi="Times New Roman" w:cs="Times New Roman"/>
          <w:color w:val="000000"/>
          <w:sz w:val="28"/>
          <w:szCs w:val="28"/>
        </w:rPr>
        <w:t xml:space="preserve">and </w:t>
      </w:r>
      <w:r w:rsidRPr="00EE076E">
        <w:rPr>
          <w:rFonts w:ascii="Times New Roman" w:eastAsia="Times New Roman" w:hAnsi="Times New Roman" w:cs="Times New Roman"/>
          <w:color w:val="000000"/>
          <w:sz w:val="28"/>
          <w:szCs w:val="28"/>
        </w:rPr>
        <w:t xml:space="preserve">ensure that </w:t>
      </w:r>
      <w:r w:rsidR="00700D4F">
        <w:rPr>
          <w:rFonts w:ascii="Times New Roman" w:eastAsia="Times New Roman" w:hAnsi="Times New Roman" w:cs="Times New Roman"/>
          <w:color w:val="000000"/>
          <w:sz w:val="28"/>
          <w:szCs w:val="28"/>
        </w:rPr>
        <w:t>the following is commented u</w:t>
      </w:r>
      <w:r w:rsidRPr="00EE076E">
        <w:rPr>
          <w:rFonts w:ascii="Times New Roman" w:eastAsia="Times New Roman" w:hAnsi="Times New Roman" w:cs="Times New Roman"/>
          <w:color w:val="000000"/>
          <w:sz w:val="28"/>
          <w:szCs w:val="28"/>
        </w:rPr>
        <w:t>pon and complete</w:t>
      </w:r>
      <w:r w:rsidR="00700D4F">
        <w:rPr>
          <w:rFonts w:ascii="Times New Roman" w:eastAsia="Times New Roman" w:hAnsi="Times New Roman" w:cs="Times New Roman"/>
          <w:color w:val="000000"/>
          <w:sz w:val="28"/>
          <w:szCs w:val="28"/>
        </w:rPr>
        <w:t>d</w:t>
      </w:r>
      <w:r w:rsidRPr="00EE076E">
        <w:rPr>
          <w:rFonts w:ascii="Times New Roman" w:eastAsia="Times New Roman" w:hAnsi="Times New Roman" w:cs="Times New Roman"/>
          <w:color w:val="000000"/>
          <w:sz w:val="28"/>
          <w:szCs w:val="28"/>
        </w:rPr>
        <w:t>:</w:t>
      </w:r>
    </w:p>
    <w:p w:rsidR="00EE076E" w:rsidRPr="00EE076E" w:rsidRDefault="00657935" w:rsidP="00657935">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rPr>
      </w:pPr>
      <w:r w:rsidRPr="00EE076E">
        <w:rPr>
          <w:rFonts w:ascii="Times New Roman" w:eastAsia="Times New Roman" w:hAnsi="Times New Roman" w:cs="Times New Roman"/>
          <w:color w:val="000000"/>
          <w:sz w:val="28"/>
          <w:szCs w:val="28"/>
        </w:rPr>
        <w:t>What are the implications of other nations acquiring a large amount of U.S. Treasury bills</w:t>
      </w:r>
      <w:r w:rsidR="00EE076E" w:rsidRPr="00EE076E">
        <w:rPr>
          <w:rFonts w:ascii="Times New Roman" w:eastAsia="Times New Roman" w:hAnsi="Times New Roman" w:cs="Times New Roman"/>
          <w:color w:val="000000"/>
          <w:sz w:val="28"/>
          <w:szCs w:val="28"/>
        </w:rPr>
        <w:t xml:space="preserve"> on the U.S. exchange rates?</w:t>
      </w:r>
    </w:p>
    <w:p w:rsidR="00EE076E" w:rsidRPr="00EE076E" w:rsidRDefault="00657935" w:rsidP="00657935">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rPr>
      </w:pPr>
      <w:r w:rsidRPr="00EE076E">
        <w:rPr>
          <w:rFonts w:ascii="Times New Roman" w:eastAsia="Times New Roman" w:hAnsi="Times New Roman" w:cs="Times New Roman"/>
          <w:color w:val="000000"/>
          <w:sz w:val="28"/>
          <w:szCs w:val="28"/>
        </w:rPr>
        <w:t xml:space="preserve"> If China did this would it increase thei</w:t>
      </w:r>
      <w:r w:rsidR="00EE076E" w:rsidRPr="00EE076E">
        <w:rPr>
          <w:rFonts w:ascii="Times New Roman" w:eastAsia="Times New Roman" w:hAnsi="Times New Roman" w:cs="Times New Roman"/>
          <w:color w:val="000000"/>
          <w:sz w:val="28"/>
          <w:szCs w:val="28"/>
        </w:rPr>
        <w:t>r military position in Asia?</w:t>
      </w:r>
    </w:p>
    <w:p w:rsidR="00EE076E" w:rsidRPr="00EE076E" w:rsidRDefault="00657935" w:rsidP="00657935">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rPr>
      </w:pPr>
      <w:r w:rsidRPr="00EE076E">
        <w:rPr>
          <w:rFonts w:ascii="Times New Roman" w:eastAsia="Times New Roman" w:hAnsi="Times New Roman" w:cs="Times New Roman"/>
          <w:color w:val="000000"/>
          <w:sz w:val="28"/>
          <w:szCs w:val="28"/>
        </w:rPr>
        <w:t>  If you were in Congress, how would you negotiate trade agreements to mitigate a</w:t>
      </w:r>
      <w:r w:rsidR="00EE076E" w:rsidRPr="00EE076E">
        <w:rPr>
          <w:rFonts w:ascii="Times New Roman" w:eastAsia="Times New Roman" w:hAnsi="Times New Roman" w:cs="Times New Roman"/>
          <w:color w:val="000000"/>
          <w:sz w:val="28"/>
          <w:szCs w:val="28"/>
        </w:rPr>
        <w:t>gainst adverse consequences? </w:t>
      </w:r>
    </w:p>
    <w:p w:rsidR="00EE076E" w:rsidRPr="00EE076E" w:rsidRDefault="00657935" w:rsidP="00A972E4">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EE076E">
        <w:rPr>
          <w:rFonts w:ascii="Times New Roman" w:eastAsia="Times New Roman" w:hAnsi="Times New Roman" w:cs="Times New Roman"/>
          <w:color w:val="000000"/>
          <w:sz w:val="28"/>
          <w:szCs w:val="28"/>
        </w:rPr>
        <w:t>  Review your text and other sources and provide a 200 word answer.</w:t>
      </w:r>
      <w:r w:rsidRPr="00EE076E">
        <w:rPr>
          <w:rFonts w:ascii="Times New Roman" w:eastAsia="Times New Roman" w:hAnsi="Times New Roman" w:cs="Times New Roman"/>
          <w:color w:val="000000"/>
          <w:sz w:val="28"/>
          <w:szCs w:val="28"/>
        </w:rPr>
        <w:br/>
      </w:r>
      <w:r w:rsidRPr="00EE076E">
        <w:rPr>
          <w:rFonts w:ascii="Times New Roman" w:eastAsia="Times New Roman" w:hAnsi="Times New Roman" w:cs="Times New Roman"/>
          <w:color w:val="000000"/>
          <w:sz w:val="28"/>
          <w:szCs w:val="28"/>
        </w:rPr>
        <w:br/>
        <w:t>According to the </w:t>
      </w:r>
      <w:hyperlink r:id="rId5" w:tgtFrame="_new" w:history="1">
        <w:r w:rsidRPr="00EE076E">
          <w:rPr>
            <w:rFonts w:ascii="Times New Roman" w:eastAsia="Times New Roman" w:hAnsi="Times New Roman" w:cs="Times New Roman"/>
            <w:color w:val="0000FF"/>
            <w:sz w:val="28"/>
            <w:szCs w:val="28"/>
            <w:u w:val="single"/>
          </w:rPr>
          <w:t>U.S. Treasury</w:t>
        </w:r>
      </w:hyperlink>
      <w:r w:rsidRPr="00EE076E">
        <w:rPr>
          <w:rFonts w:ascii="Times New Roman" w:eastAsia="Times New Roman" w:hAnsi="Times New Roman" w:cs="Times New Roman"/>
          <w:color w:val="000000"/>
          <w:sz w:val="28"/>
          <w:szCs w:val="28"/>
        </w:rPr>
        <w:t>, foreign holdings of treasury securities were about $5.8 trillion, of which China holds just over $1.3 trillion (and Japan just under $1.2 trillion).  Foreign holdings are about 33% of the total and China about 7,4%... and the question can always be asked whether a debtor or creditor really has influence when you are talking about numbers with 12 zeroes in them!"  Recall that the total debt even then was around $17.4 trillion.</w:t>
      </w:r>
      <w:r w:rsidRPr="00EE076E">
        <w:rPr>
          <w:rFonts w:ascii="Times New Roman" w:eastAsia="Times New Roman" w:hAnsi="Times New Roman" w:cs="Times New Roman"/>
          <w:color w:val="000000"/>
          <w:sz w:val="28"/>
          <w:szCs w:val="28"/>
        </w:rPr>
        <w:br/>
      </w:r>
      <w:r w:rsidRPr="00EE076E">
        <w:rPr>
          <w:rFonts w:ascii="Times New Roman" w:eastAsia="Times New Roman" w:hAnsi="Times New Roman" w:cs="Times New Roman"/>
          <w:color w:val="000000"/>
          <w:sz w:val="28"/>
          <w:szCs w:val="28"/>
        </w:rPr>
        <w:br/>
      </w:r>
      <w:r w:rsidR="00EE076E" w:rsidRPr="00EE076E">
        <w:rPr>
          <w:rFonts w:ascii="Times New Roman" w:eastAsia="Times New Roman" w:hAnsi="Times New Roman" w:cs="Times New Roman"/>
          <w:color w:val="000000"/>
          <w:sz w:val="28"/>
          <w:szCs w:val="28"/>
        </w:rPr>
        <w:t>The argument</w:t>
      </w:r>
      <w:r w:rsidRPr="00EE076E">
        <w:rPr>
          <w:rFonts w:ascii="Times New Roman" w:eastAsia="Times New Roman" w:hAnsi="Times New Roman" w:cs="Times New Roman"/>
          <w:color w:val="000000"/>
          <w:sz w:val="28"/>
          <w:szCs w:val="28"/>
        </w:rPr>
        <w:t xml:space="preserve"> must be based upon economic reasoning </w:t>
      </w:r>
      <w:r w:rsidR="00EE076E" w:rsidRPr="00EE076E">
        <w:rPr>
          <w:rFonts w:ascii="Times New Roman" w:eastAsia="Times New Roman" w:hAnsi="Times New Roman" w:cs="Times New Roman"/>
          <w:color w:val="000000"/>
          <w:sz w:val="28"/>
          <w:szCs w:val="28"/>
        </w:rPr>
        <w:t>–</w:t>
      </w:r>
      <w:r w:rsidRPr="00EE076E">
        <w:rPr>
          <w:rFonts w:ascii="Times New Roman" w:eastAsia="Times New Roman" w:hAnsi="Times New Roman" w:cs="Times New Roman"/>
          <w:color w:val="000000"/>
          <w:sz w:val="28"/>
          <w:szCs w:val="28"/>
        </w:rPr>
        <w:t xml:space="preserve"> </w:t>
      </w:r>
      <w:r w:rsidR="00EE076E" w:rsidRPr="00EE076E">
        <w:rPr>
          <w:rFonts w:ascii="Times New Roman" w:eastAsia="Times New Roman" w:hAnsi="Times New Roman" w:cs="Times New Roman"/>
          <w:color w:val="000000"/>
          <w:sz w:val="28"/>
          <w:szCs w:val="28"/>
        </w:rPr>
        <w:t xml:space="preserve">don’t </w:t>
      </w:r>
      <w:r w:rsidRPr="00EE076E">
        <w:rPr>
          <w:rFonts w:ascii="Times New Roman" w:eastAsia="Times New Roman" w:hAnsi="Times New Roman" w:cs="Times New Roman"/>
          <w:color w:val="000000"/>
          <w:sz w:val="28"/>
          <w:szCs w:val="28"/>
        </w:rPr>
        <w:t>repeat poli</w:t>
      </w:r>
      <w:r w:rsidR="00EE076E">
        <w:rPr>
          <w:rFonts w:ascii="Times New Roman" w:eastAsia="Times New Roman" w:hAnsi="Times New Roman" w:cs="Times New Roman"/>
          <w:color w:val="000000"/>
          <w:sz w:val="28"/>
          <w:szCs w:val="28"/>
        </w:rPr>
        <w:t>tical statements and hyperbole.</w:t>
      </w:r>
    </w:p>
    <w:p w:rsidR="00EE076E" w:rsidRDefault="00EE076E" w:rsidP="00EE076E">
      <w:pPr>
        <w:shd w:val="clear" w:color="auto" w:fill="FFFFFF"/>
        <w:spacing w:before="100" w:beforeAutospacing="1" w:after="100" w:afterAutospacing="1" w:line="240" w:lineRule="auto"/>
        <w:ind w:left="360"/>
        <w:rPr>
          <w:rFonts w:ascii="Times New Roman" w:eastAsia="Times New Roman" w:hAnsi="Times New Roman" w:cs="Times New Roman"/>
          <w:b/>
          <w:color w:val="000000"/>
          <w:sz w:val="28"/>
          <w:szCs w:val="28"/>
        </w:rPr>
      </w:pPr>
    </w:p>
    <w:p w:rsidR="00EE076E" w:rsidRDefault="00EE076E" w:rsidP="00EE076E">
      <w:pPr>
        <w:shd w:val="clear" w:color="auto" w:fill="FFFFFF"/>
        <w:spacing w:before="100" w:beforeAutospacing="1" w:after="100" w:afterAutospacing="1" w:line="240" w:lineRule="auto"/>
        <w:ind w:left="360"/>
        <w:rPr>
          <w:rFonts w:ascii="Times New Roman" w:eastAsia="Times New Roman" w:hAnsi="Times New Roman" w:cs="Times New Roman"/>
          <w:b/>
          <w:color w:val="000000"/>
          <w:sz w:val="28"/>
          <w:szCs w:val="28"/>
        </w:rPr>
      </w:pPr>
    </w:p>
    <w:p w:rsidR="00EE076E" w:rsidRDefault="00EE076E" w:rsidP="00EE076E">
      <w:pPr>
        <w:shd w:val="clear" w:color="auto" w:fill="FFFFFF"/>
        <w:spacing w:before="100" w:beforeAutospacing="1" w:after="100" w:afterAutospacing="1" w:line="240" w:lineRule="auto"/>
        <w:ind w:left="360"/>
        <w:rPr>
          <w:rFonts w:ascii="Times New Roman" w:eastAsia="Times New Roman" w:hAnsi="Times New Roman" w:cs="Times New Roman"/>
          <w:b/>
          <w:color w:val="000000"/>
          <w:sz w:val="28"/>
          <w:szCs w:val="28"/>
        </w:rPr>
      </w:pPr>
    </w:p>
    <w:p w:rsidR="00657935" w:rsidRPr="00EE076E" w:rsidRDefault="00657935" w:rsidP="00EE076E">
      <w:pPr>
        <w:shd w:val="clear" w:color="auto" w:fill="FFFFFF"/>
        <w:spacing w:before="100" w:beforeAutospacing="1" w:after="100" w:afterAutospacing="1" w:line="240" w:lineRule="auto"/>
        <w:ind w:left="360"/>
        <w:rPr>
          <w:rFonts w:ascii="Times New Roman" w:eastAsia="Times New Roman" w:hAnsi="Times New Roman" w:cs="Times New Roman"/>
          <w:b/>
          <w:color w:val="000000"/>
          <w:sz w:val="28"/>
          <w:szCs w:val="28"/>
        </w:rPr>
      </w:pPr>
      <w:r w:rsidRPr="00EE076E">
        <w:rPr>
          <w:rFonts w:ascii="Times New Roman" w:eastAsia="Times New Roman" w:hAnsi="Times New Roman" w:cs="Times New Roman"/>
          <w:b/>
          <w:color w:val="000000"/>
          <w:sz w:val="28"/>
          <w:szCs w:val="28"/>
        </w:rPr>
        <w:lastRenderedPageBreak/>
        <w:t>Discussion 2</w:t>
      </w:r>
      <w:r w:rsidR="00EE076E">
        <w:rPr>
          <w:rFonts w:ascii="Times New Roman" w:eastAsia="Times New Roman" w:hAnsi="Times New Roman" w:cs="Times New Roman"/>
          <w:b/>
          <w:color w:val="000000"/>
          <w:sz w:val="28"/>
          <w:szCs w:val="28"/>
        </w:rPr>
        <w:t xml:space="preserve"> – </w:t>
      </w:r>
      <w:proofErr w:type="gramStart"/>
      <w:r w:rsidR="00EE076E">
        <w:rPr>
          <w:rFonts w:ascii="Times New Roman" w:eastAsia="Times New Roman" w:hAnsi="Times New Roman" w:cs="Times New Roman"/>
          <w:b/>
          <w:color w:val="000000"/>
          <w:sz w:val="28"/>
          <w:szCs w:val="28"/>
        </w:rPr>
        <w:t>200 word</w:t>
      </w:r>
      <w:proofErr w:type="gramEnd"/>
      <w:r w:rsidR="00EE076E">
        <w:rPr>
          <w:rFonts w:ascii="Times New Roman" w:eastAsia="Times New Roman" w:hAnsi="Times New Roman" w:cs="Times New Roman"/>
          <w:b/>
          <w:color w:val="000000"/>
          <w:sz w:val="28"/>
          <w:szCs w:val="28"/>
        </w:rPr>
        <w:t xml:space="preserve"> minimum</w:t>
      </w:r>
    </w:p>
    <w:p w:rsidR="00657935" w:rsidRPr="00EE076E" w:rsidRDefault="00657935" w:rsidP="0065793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E076E">
        <w:rPr>
          <w:rFonts w:ascii="Times New Roman" w:hAnsi="Times New Roman" w:cs="Times New Roman"/>
          <w:color w:val="000000"/>
          <w:sz w:val="28"/>
          <w:szCs w:val="28"/>
          <w:shd w:val="clear" w:color="auto" w:fill="FFFFFF"/>
        </w:rPr>
        <w:t xml:space="preserve">Compare the risks of borrowing in the form of debt and receiving FDI in the form of equity.  If debt is generally considered </w:t>
      </w:r>
      <w:bookmarkStart w:id="0" w:name="_GoBack"/>
      <w:bookmarkEnd w:id="0"/>
      <w:r w:rsidR="00700D4F" w:rsidRPr="00EE076E">
        <w:rPr>
          <w:rFonts w:ascii="Times New Roman" w:hAnsi="Times New Roman" w:cs="Times New Roman"/>
          <w:color w:val="000000"/>
          <w:sz w:val="28"/>
          <w:szCs w:val="28"/>
          <w:shd w:val="clear" w:color="auto" w:fill="FFFFFF"/>
        </w:rPr>
        <w:t>riskier</w:t>
      </w:r>
      <w:r w:rsidRPr="00EE076E">
        <w:rPr>
          <w:rFonts w:ascii="Times New Roman" w:hAnsi="Times New Roman" w:cs="Times New Roman"/>
          <w:color w:val="000000"/>
          <w:sz w:val="28"/>
          <w:szCs w:val="28"/>
          <w:shd w:val="clear" w:color="auto" w:fill="FFFFFF"/>
        </w:rPr>
        <w:t xml:space="preserve"> to borrowers than equity, why is so much borrowing by foreign nations in the form of debt rather than equity?</w:t>
      </w:r>
    </w:p>
    <w:p w:rsidR="00657935" w:rsidRDefault="00657935" w:rsidP="00657935">
      <w:pPr>
        <w:pStyle w:val="NormalWeb"/>
        <w:shd w:val="clear" w:color="auto" w:fill="FFFFFF"/>
        <w:spacing w:before="0" w:beforeAutospacing="0" w:after="0" w:afterAutospacing="0"/>
        <w:rPr>
          <w:rFonts w:ascii="Arial" w:hAnsi="Arial" w:cs="Arial"/>
          <w:color w:val="000000"/>
          <w:sz w:val="21"/>
          <w:szCs w:val="21"/>
        </w:rPr>
      </w:pPr>
      <w:r w:rsidRPr="00EE076E">
        <w:rPr>
          <w:color w:val="000000"/>
          <w:sz w:val="28"/>
          <w:szCs w:val="28"/>
        </w:rPr>
        <w:t>Keep in mind that it is countries and macroeconomics rather than companies and microeconomics that are the focus of this chapter.  So</w:t>
      </w:r>
      <w:r w:rsidRPr="00EE076E">
        <w:rPr>
          <w:rStyle w:val="apple-converted-space"/>
          <w:color w:val="000000"/>
          <w:sz w:val="28"/>
          <w:szCs w:val="28"/>
        </w:rPr>
        <w:t> </w:t>
      </w:r>
      <w:r w:rsidRPr="00EE076E">
        <w:rPr>
          <w:rStyle w:val="Emphasis"/>
          <w:color w:val="000000"/>
          <w:sz w:val="28"/>
          <w:szCs w:val="28"/>
        </w:rPr>
        <w:t>why</w:t>
      </w:r>
      <w:r w:rsidRPr="00EE076E">
        <w:rPr>
          <w:rStyle w:val="apple-converted-space"/>
          <w:color w:val="000000"/>
          <w:sz w:val="28"/>
          <w:szCs w:val="28"/>
        </w:rPr>
        <w:t> </w:t>
      </w:r>
      <w:r w:rsidRPr="00EE076E">
        <w:rPr>
          <w:color w:val="000000"/>
          <w:sz w:val="28"/>
          <w:szCs w:val="28"/>
        </w:rPr>
        <w:t>is borrowing in the form of debt riskier for a nation?  There is really a great deal of this chapter that delves into this question. </w:t>
      </w:r>
      <w:r w:rsidRPr="00EE076E">
        <w:rPr>
          <w:rStyle w:val="apple-converted-space"/>
          <w:color w:val="000000"/>
          <w:sz w:val="28"/>
          <w:szCs w:val="28"/>
        </w:rPr>
        <w:t> </w:t>
      </w:r>
      <w:r w:rsidRPr="00EE076E">
        <w:rPr>
          <w:color w:val="000000"/>
          <w:sz w:val="28"/>
          <w:szCs w:val="28"/>
        </w:rPr>
        <w:br/>
      </w:r>
      <w:r w:rsidRPr="00EE076E">
        <w:rPr>
          <w:color w:val="000000"/>
          <w:sz w:val="28"/>
          <w:szCs w:val="28"/>
        </w:rPr>
        <w:br/>
        <w:t xml:space="preserve">You might start by considering how debt and equity are employed as elements of financing and FDI.  Then think about what might happen to increase or decrease the riskiness of the loan or equity investment to the borrowing country.  Perhaps put yourself in the shoes of the ruler of a developing country, maybe one that depends upon a single agricultural product or extractive industry, say upon pineapples or </w:t>
      </w:r>
      <w:proofErr w:type="spellStart"/>
      <w:r w:rsidRPr="00EE076E">
        <w:rPr>
          <w:color w:val="000000"/>
          <w:sz w:val="28"/>
          <w:szCs w:val="28"/>
        </w:rPr>
        <w:t>paladium</w:t>
      </w:r>
      <w:proofErr w:type="spellEnd"/>
      <w:r w:rsidRPr="00EE076E">
        <w:rPr>
          <w:color w:val="000000"/>
          <w:sz w:val="28"/>
          <w:szCs w:val="28"/>
        </w:rPr>
        <w:t>.</w:t>
      </w:r>
    </w:p>
    <w:p w:rsidR="00657935" w:rsidRPr="00657935" w:rsidRDefault="00657935" w:rsidP="00657935">
      <w:pPr>
        <w:shd w:val="clear" w:color="auto" w:fill="FFFFFF"/>
        <w:spacing w:before="100" w:beforeAutospacing="1" w:after="100" w:afterAutospacing="1" w:line="240" w:lineRule="auto"/>
        <w:rPr>
          <w:rFonts w:ascii="Arial" w:eastAsia="Times New Roman" w:hAnsi="Arial" w:cs="Arial"/>
          <w:color w:val="000000"/>
          <w:sz w:val="21"/>
          <w:szCs w:val="21"/>
        </w:rPr>
      </w:pPr>
    </w:p>
    <w:p w:rsidR="00657935" w:rsidRPr="00657935" w:rsidRDefault="00657935" w:rsidP="00657935">
      <w:pPr>
        <w:shd w:val="clear" w:color="auto" w:fill="FFFFFF"/>
        <w:spacing w:before="75" w:after="75" w:line="240" w:lineRule="auto"/>
        <w:outlineLvl w:val="1"/>
        <w:rPr>
          <w:rFonts w:ascii="Arial" w:eastAsia="Times New Roman" w:hAnsi="Arial" w:cs="Arial"/>
          <w:b/>
          <w:bCs/>
          <w:color w:val="002664"/>
          <w:sz w:val="27"/>
          <w:szCs w:val="27"/>
        </w:rPr>
      </w:pPr>
      <w:r w:rsidRPr="00657935">
        <w:rPr>
          <w:rFonts w:ascii="Arial" w:eastAsia="Times New Roman" w:hAnsi="Arial" w:cs="Arial"/>
          <w:b/>
          <w:bCs/>
          <w:color w:val="002664"/>
          <w:sz w:val="27"/>
          <w:szCs w:val="27"/>
        </w:rPr>
        <w:t>Required Resources</w:t>
      </w:r>
      <w:r w:rsidR="00EE076E">
        <w:rPr>
          <w:rFonts w:ascii="Arial" w:eastAsia="Times New Roman" w:hAnsi="Arial" w:cs="Arial"/>
          <w:b/>
          <w:bCs/>
          <w:color w:val="002664"/>
          <w:sz w:val="27"/>
          <w:szCs w:val="27"/>
        </w:rPr>
        <w:t xml:space="preserve"> for both</w:t>
      </w:r>
    </w:p>
    <w:p w:rsidR="00657935" w:rsidRPr="00657935" w:rsidRDefault="00657935" w:rsidP="00657935">
      <w:pPr>
        <w:spacing w:after="0" w:line="240" w:lineRule="auto"/>
        <w:rPr>
          <w:rFonts w:ascii="Times New Roman" w:eastAsia="Times New Roman" w:hAnsi="Times New Roman" w:cs="Times New Roman"/>
          <w:sz w:val="24"/>
          <w:szCs w:val="24"/>
        </w:rPr>
      </w:pPr>
      <w:r w:rsidRPr="00657935">
        <w:rPr>
          <w:rFonts w:ascii="Arial" w:eastAsia="Times New Roman" w:hAnsi="Arial" w:cs="Arial"/>
          <w:color w:val="000000"/>
          <w:sz w:val="21"/>
          <w:szCs w:val="21"/>
        </w:rPr>
        <w:br/>
      </w:r>
    </w:p>
    <w:p w:rsidR="00657935" w:rsidRPr="00657935" w:rsidRDefault="00657935" w:rsidP="00657935">
      <w:pPr>
        <w:shd w:val="clear" w:color="auto" w:fill="FFFFFF"/>
        <w:spacing w:before="75" w:after="75" w:line="240" w:lineRule="auto"/>
        <w:outlineLvl w:val="2"/>
        <w:rPr>
          <w:rFonts w:ascii="Arial" w:eastAsia="Times New Roman" w:hAnsi="Arial" w:cs="Arial"/>
          <w:color w:val="621B4B"/>
          <w:sz w:val="23"/>
          <w:szCs w:val="23"/>
        </w:rPr>
      </w:pPr>
      <w:r w:rsidRPr="00657935">
        <w:rPr>
          <w:rFonts w:ascii="Arial" w:eastAsia="Times New Roman" w:hAnsi="Arial" w:cs="Arial"/>
          <w:color w:val="621B4B"/>
          <w:sz w:val="23"/>
          <w:szCs w:val="23"/>
        </w:rPr>
        <w:t>Text</w:t>
      </w:r>
    </w:p>
    <w:p w:rsidR="00657935" w:rsidRPr="00657935" w:rsidRDefault="00657935" w:rsidP="00657935">
      <w:pPr>
        <w:numPr>
          <w:ilvl w:val="0"/>
          <w:numId w:val="1"/>
        </w:num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Sawyer, W., &amp; Sprinkle, R. (2009). International Economics (3rd ed.). Upper Saddle River: Pearson Prentice Hall.</w:t>
      </w:r>
    </w:p>
    <w:p w:rsidR="00657935" w:rsidRPr="00657935" w:rsidRDefault="00657935" w:rsidP="00657935">
      <w:pPr>
        <w:numPr>
          <w:ilvl w:val="1"/>
          <w:numId w:val="1"/>
        </w:num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Chapter 19: Fixed Exchange Rates and Current Unions</w:t>
      </w:r>
    </w:p>
    <w:p w:rsidR="00657935" w:rsidRPr="00657935" w:rsidRDefault="00657935" w:rsidP="00657935">
      <w:pPr>
        <w:numPr>
          <w:ilvl w:val="1"/>
          <w:numId w:val="1"/>
        </w:num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Chapter 20: International Monetary Arrangements</w:t>
      </w:r>
    </w:p>
    <w:p w:rsidR="00657935" w:rsidRPr="00657935" w:rsidRDefault="00657935" w:rsidP="00657935">
      <w:pPr>
        <w:numPr>
          <w:ilvl w:val="1"/>
          <w:numId w:val="1"/>
        </w:num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Chapter 21: Capital Flows and the Developing Countries</w:t>
      </w:r>
    </w:p>
    <w:p w:rsidR="00657935" w:rsidRPr="00657935" w:rsidRDefault="00657935" w:rsidP="00657935">
      <w:pPr>
        <w:shd w:val="clear" w:color="auto" w:fill="FFFFFF"/>
        <w:spacing w:before="75" w:after="75" w:line="240" w:lineRule="auto"/>
        <w:outlineLvl w:val="2"/>
        <w:rPr>
          <w:rFonts w:ascii="Arial" w:eastAsia="Times New Roman" w:hAnsi="Arial" w:cs="Arial"/>
          <w:color w:val="621B4B"/>
          <w:sz w:val="23"/>
          <w:szCs w:val="23"/>
        </w:rPr>
      </w:pPr>
      <w:r w:rsidRPr="00657935">
        <w:rPr>
          <w:rFonts w:ascii="Arial" w:eastAsia="Times New Roman" w:hAnsi="Arial" w:cs="Arial"/>
          <w:color w:val="621B4B"/>
          <w:sz w:val="23"/>
          <w:szCs w:val="23"/>
        </w:rPr>
        <w:t>Articles</w:t>
      </w:r>
    </w:p>
    <w:p w:rsidR="00657935" w:rsidRPr="00657935" w:rsidRDefault="00657935" w:rsidP="00657935">
      <w:pPr>
        <w:numPr>
          <w:ilvl w:val="0"/>
          <w:numId w:val="2"/>
        </w:numPr>
        <w:shd w:val="clear" w:color="auto" w:fill="FFFFFF"/>
        <w:spacing w:before="100" w:beforeAutospacing="1" w:after="100" w:afterAutospacing="1" w:line="240" w:lineRule="auto"/>
        <w:ind w:left="750"/>
        <w:rPr>
          <w:rFonts w:ascii="Arial" w:eastAsia="Times New Roman" w:hAnsi="Arial" w:cs="Arial"/>
          <w:color w:val="000000"/>
          <w:sz w:val="21"/>
          <w:szCs w:val="21"/>
        </w:rPr>
      </w:pPr>
      <w:proofErr w:type="spellStart"/>
      <w:r w:rsidRPr="00657935">
        <w:rPr>
          <w:rFonts w:ascii="Arial" w:eastAsia="Times New Roman" w:hAnsi="Arial" w:cs="Arial"/>
          <w:color w:val="000000"/>
          <w:sz w:val="21"/>
          <w:szCs w:val="21"/>
        </w:rPr>
        <w:t>Alhajji</w:t>
      </w:r>
      <w:proofErr w:type="spellEnd"/>
      <w:r w:rsidRPr="00657935">
        <w:rPr>
          <w:rFonts w:ascii="Arial" w:eastAsia="Times New Roman" w:hAnsi="Arial" w:cs="Arial"/>
          <w:color w:val="000000"/>
          <w:sz w:val="21"/>
          <w:szCs w:val="21"/>
        </w:rPr>
        <w:t>, A. F. (2005, June 22). </w:t>
      </w:r>
      <w:hyperlink r:id="rId6" w:tgtFrame="_blank" w:history="1">
        <w:r w:rsidRPr="00657935">
          <w:rPr>
            <w:rFonts w:ascii="Arial" w:eastAsia="Times New Roman" w:hAnsi="Arial" w:cs="Arial"/>
            <w:color w:val="0065A0"/>
            <w:sz w:val="21"/>
            <w:szCs w:val="21"/>
            <w:u w:val="single"/>
          </w:rPr>
          <w:t>Why does OPEC continue to price its oil in dollars? Alexander’s Gas &amp; Oil Connections, 10(12)</w:t>
        </w:r>
      </w:hyperlink>
      <w:r w:rsidRPr="00657935">
        <w:rPr>
          <w:rFonts w:ascii="Arial" w:eastAsia="Times New Roman" w:hAnsi="Arial" w:cs="Arial"/>
          <w:color w:val="000000"/>
          <w:sz w:val="21"/>
          <w:szCs w:val="21"/>
        </w:rPr>
        <w:t>. Retrieved from http://www.gasandoil.com/goc/news/ntm52587.htm</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Art, S. </w:t>
      </w:r>
      <w:hyperlink r:id="rId7" w:tgtFrame="_blank" w:history="1">
        <w:r w:rsidRPr="00657935">
          <w:rPr>
            <w:rFonts w:ascii="Arial" w:eastAsia="Times New Roman" w:hAnsi="Arial" w:cs="Arial"/>
            <w:color w:val="0065A0"/>
            <w:sz w:val="21"/>
            <w:szCs w:val="21"/>
            <w:u w:val="single"/>
          </w:rPr>
          <w:t>1970s oil crisis</w:t>
        </w:r>
      </w:hyperlink>
      <w:r w:rsidRPr="00657935">
        <w:rPr>
          <w:rFonts w:ascii="Arial" w:eastAsia="Times New Roman" w:hAnsi="Arial" w:cs="Arial"/>
          <w:color w:val="000000"/>
          <w:sz w:val="21"/>
          <w:szCs w:val="21"/>
        </w:rPr>
        <w:t>. </w:t>
      </w:r>
      <w:r w:rsidRPr="00657935">
        <w:rPr>
          <w:rFonts w:ascii="Arial" w:eastAsia="Times New Roman" w:hAnsi="Arial" w:cs="Arial"/>
          <w:i/>
          <w:iCs/>
          <w:color w:val="000000"/>
          <w:sz w:val="21"/>
          <w:szCs w:val="21"/>
        </w:rPr>
        <w:t>Recession.Org</w:t>
      </w:r>
      <w:r w:rsidRPr="00657935">
        <w:rPr>
          <w:rFonts w:ascii="Arial" w:eastAsia="Times New Roman" w:hAnsi="Arial" w:cs="Arial"/>
          <w:color w:val="000000"/>
          <w:sz w:val="21"/>
          <w:szCs w:val="21"/>
        </w:rPr>
        <w:t>. Retrieved from http://recession.org/history/1970s-oil-crisis</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proofErr w:type="spellStart"/>
      <w:r w:rsidRPr="00657935">
        <w:rPr>
          <w:rFonts w:ascii="Arial" w:eastAsia="Times New Roman" w:hAnsi="Arial" w:cs="Arial"/>
          <w:color w:val="000000"/>
          <w:sz w:val="21"/>
          <w:szCs w:val="21"/>
        </w:rPr>
        <w:t>Bonsor</w:t>
      </w:r>
      <w:proofErr w:type="spellEnd"/>
      <w:r w:rsidRPr="00657935">
        <w:rPr>
          <w:rFonts w:ascii="Arial" w:eastAsia="Times New Roman" w:hAnsi="Arial" w:cs="Arial"/>
          <w:color w:val="000000"/>
          <w:sz w:val="21"/>
          <w:szCs w:val="21"/>
        </w:rPr>
        <w:t xml:space="preserve">, K. and </w:t>
      </w:r>
      <w:proofErr w:type="spellStart"/>
      <w:r w:rsidRPr="00657935">
        <w:rPr>
          <w:rFonts w:ascii="Arial" w:eastAsia="Times New Roman" w:hAnsi="Arial" w:cs="Arial"/>
          <w:color w:val="000000"/>
          <w:sz w:val="21"/>
          <w:szCs w:val="21"/>
        </w:rPr>
        <w:t>Grabianowski</w:t>
      </w:r>
      <w:proofErr w:type="spellEnd"/>
      <w:r w:rsidRPr="00657935">
        <w:rPr>
          <w:rFonts w:ascii="Arial" w:eastAsia="Times New Roman" w:hAnsi="Arial" w:cs="Arial"/>
          <w:color w:val="000000"/>
          <w:sz w:val="21"/>
          <w:szCs w:val="21"/>
        </w:rPr>
        <w:t>, E. </w:t>
      </w:r>
      <w:hyperlink r:id="rId8" w:tgtFrame="_blank" w:history="1">
        <w:r w:rsidRPr="00657935">
          <w:rPr>
            <w:rFonts w:ascii="Arial" w:eastAsia="Times New Roman" w:hAnsi="Arial" w:cs="Arial"/>
            <w:color w:val="0065A0"/>
            <w:sz w:val="21"/>
            <w:szCs w:val="21"/>
            <w:u w:val="single"/>
          </w:rPr>
          <w:t>How gas prices work</w:t>
        </w:r>
      </w:hyperlink>
      <w:r w:rsidRPr="00657935">
        <w:rPr>
          <w:rFonts w:ascii="Arial" w:eastAsia="Times New Roman" w:hAnsi="Arial" w:cs="Arial"/>
          <w:color w:val="000000"/>
          <w:sz w:val="21"/>
          <w:szCs w:val="21"/>
        </w:rPr>
        <w:t>. </w:t>
      </w:r>
      <w:proofErr w:type="spellStart"/>
      <w:r w:rsidRPr="00657935">
        <w:rPr>
          <w:rFonts w:ascii="Arial" w:eastAsia="Times New Roman" w:hAnsi="Arial" w:cs="Arial"/>
          <w:i/>
          <w:iCs/>
          <w:color w:val="000000"/>
          <w:sz w:val="21"/>
          <w:szCs w:val="21"/>
        </w:rPr>
        <w:t>HowStuffWorks</w:t>
      </w:r>
      <w:proofErr w:type="spellEnd"/>
      <w:r w:rsidRPr="00657935">
        <w:rPr>
          <w:rFonts w:ascii="Arial" w:eastAsia="Times New Roman" w:hAnsi="Arial" w:cs="Arial"/>
          <w:i/>
          <w:iCs/>
          <w:color w:val="000000"/>
          <w:sz w:val="21"/>
          <w:szCs w:val="21"/>
        </w:rPr>
        <w:t>, a Discovery Company</w:t>
      </w:r>
      <w:r w:rsidRPr="00657935">
        <w:rPr>
          <w:rFonts w:ascii="Arial" w:eastAsia="Times New Roman" w:hAnsi="Arial" w:cs="Arial"/>
          <w:color w:val="000000"/>
          <w:sz w:val="21"/>
          <w:szCs w:val="21"/>
        </w:rPr>
        <w:t>. Retrieved from http://auto.howstuffworks.com/fuel-efficiency/fuel-consumption/gas-price6.htm</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lastRenderedPageBreak/>
        <w:t>Congressional Budget Office. (2008). </w:t>
      </w:r>
      <w:hyperlink r:id="rId9" w:anchor="1045449" w:tgtFrame="_blank" w:history="1">
        <w:r w:rsidRPr="00657935">
          <w:rPr>
            <w:rFonts w:ascii="Arial" w:eastAsia="Times New Roman" w:hAnsi="Arial" w:cs="Arial"/>
            <w:color w:val="0065A0"/>
            <w:sz w:val="21"/>
            <w:szCs w:val="21"/>
            <w:u w:val="single"/>
          </w:rPr>
          <w:t>Gasoline prices and vehicle markets</w:t>
        </w:r>
      </w:hyperlink>
      <w:r w:rsidRPr="00657935">
        <w:rPr>
          <w:rFonts w:ascii="Arial" w:eastAsia="Times New Roman" w:hAnsi="Arial" w:cs="Arial"/>
          <w:color w:val="000000"/>
          <w:sz w:val="21"/>
          <w:szCs w:val="21"/>
        </w:rPr>
        <w:t>. </w:t>
      </w:r>
      <w:r w:rsidRPr="00657935">
        <w:rPr>
          <w:rFonts w:ascii="Arial" w:eastAsia="Times New Roman" w:hAnsi="Arial" w:cs="Arial"/>
          <w:i/>
          <w:iCs/>
          <w:color w:val="000000"/>
          <w:sz w:val="21"/>
          <w:szCs w:val="21"/>
        </w:rPr>
        <w:t>In Effects of gasoline prices on</w:t>
      </w:r>
      <w:r w:rsidRPr="00657935">
        <w:rPr>
          <w:rFonts w:ascii="Arial" w:eastAsia="Times New Roman" w:hAnsi="Arial" w:cs="Arial"/>
          <w:color w:val="000000"/>
          <w:sz w:val="21"/>
          <w:szCs w:val="21"/>
        </w:rPr>
        <w:br/>
      </w:r>
      <w:r w:rsidRPr="00657935">
        <w:rPr>
          <w:rFonts w:ascii="Arial" w:eastAsia="Times New Roman" w:hAnsi="Arial" w:cs="Arial"/>
          <w:i/>
          <w:iCs/>
          <w:color w:val="000000"/>
          <w:sz w:val="21"/>
          <w:szCs w:val="21"/>
        </w:rPr>
        <w:t>driving behavior and vehicle markets</w:t>
      </w:r>
      <w:r w:rsidRPr="00657935">
        <w:rPr>
          <w:rFonts w:ascii="Arial" w:eastAsia="Times New Roman" w:hAnsi="Arial" w:cs="Arial"/>
          <w:color w:val="000000"/>
          <w:sz w:val="21"/>
          <w:szCs w:val="21"/>
        </w:rPr>
        <w:t> (chapter 2). Retrieved from http://www.cbo.gov/ftpdocs/88xx/doc8893/Chapter2.6.1.shtml#1045449</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Hamilton, J. (2008, June 5). </w:t>
      </w:r>
      <w:hyperlink r:id="rId10" w:tgtFrame="_blank" w:history="1">
        <w:r w:rsidRPr="00657935">
          <w:rPr>
            <w:rFonts w:ascii="Arial" w:eastAsia="Times New Roman" w:hAnsi="Arial" w:cs="Arial"/>
            <w:color w:val="0065A0"/>
            <w:sz w:val="21"/>
            <w:szCs w:val="21"/>
            <w:u w:val="single"/>
          </w:rPr>
          <w:t>The oil shock of 2008</w:t>
        </w:r>
      </w:hyperlink>
      <w:r w:rsidRPr="00657935">
        <w:rPr>
          <w:rFonts w:ascii="Arial" w:eastAsia="Times New Roman" w:hAnsi="Arial" w:cs="Arial"/>
          <w:color w:val="000000"/>
          <w:sz w:val="21"/>
          <w:szCs w:val="21"/>
        </w:rPr>
        <w:t> [Web log post]. </w:t>
      </w:r>
      <w:proofErr w:type="spellStart"/>
      <w:r w:rsidRPr="00657935">
        <w:rPr>
          <w:rFonts w:ascii="Arial" w:eastAsia="Times New Roman" w:hAnsi="Arial" w:cs="Arial"/>
          <w:i/>
          <w:iCs/>
          <w:color w:val="000000"/>
          <w:sz w:val="21"/>
          <w:szCs w:val="21"/>
        </w:rPr>
        <w:t>Econbrowser</w:t>
      </w:r>
      <w:proofErr w:type="spellEnd"/>
      <w:r w:rsidRPr="00657935">
        <w:rPr>
          <w:rFonts w:ascii="Arial" w:eastAsia="Times New Roman" w:hAnsi="Arial" w:cs="Arial"/>
          <w:color w:val="000000"/>
          <w:sz w:val="21"/>
          <w:szCs w:val="21"/>
        </w:rPr>
        <w:t>. Retrieved from http://www.econbrowser.com/archives/2008/06/the_oil_shock_o.html</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 xml:space="preserve">Lewis, B. and </w:t>
      </w:r>
      <w:proofErr w:type="spellStart"/>
      <w:r w:rsidRPr="00657935">
        <w:rPr>
          <w:rFonts w:ascii="Arial" w:eastAsia="Times New Roman" w:hAnsi="Arial" w:cs="Arial"/>
          <w:color w:val="000000"/>
          <w:sz w:val="21"/>
          <w:szCs w:val="21"/>
        </w:rPr>
        <w:t>Leff</w:t>
      </w:r>
      <w:proofErr w:type="spellEnd"/>
      <w:r w:rsidRPr="00657935">
        <w:rPr>
          <w:rFonts w:ascii="Arial" w:eastAsia="Times New Roman" w:hAnsi="Arial" w:cs="Arial"/>
          <w:color w:val="000000"/>
          <w:sz w:val="21"/>
          <w:szCs w:val="21"/>
        </w:rPr>
        <w:t>, J. (2010, December 23). </w:t>
      </w:r>
      <w:hyperlink r:id="rId11" w:tgtFrame="_blank" w:history="1">
        <w:r w:rsidRPr="00657935">
          <w:rPr>
            <w:rFonts w:ascii="Arial" w:eastAsia="Times New Roman" w:hAnsi="Arial" w:cs="Arial"/>
            <w:color w:val="0065A0"/>
            <w:sz w:val="21"/>
            <w:szCs w:val="21"/>
            <w:u w:val="single"/>
          </w:rPr>
          <w:t>Oil jumps to highest since 2008 crisis, $100 eyed</w:t>
        </w:r>
      </w:hyperlink>
      <w:r w:rsidRPr="00657935">
        <w:rPr>
          <w:rFonts w:ascii="Arial" w:eastAsia="Times New Roman" w:hAnsi="Arial" w:cs="Arial"/>
          <w:color w:val="000000"/>
          <w:sz w:val="21"/>
          <w:szCs w:val="21"/>
        </w:rPr>
        <w:t>. </w:t>
      </w:r>
      <w:r w:rsidRPr="00657935">
        <w:rPr>
          <w:rFonts w:ascii="Arial" w:eastAsia="Times New Roman" w:hAnsi="Arial" w:cs="Arial"/>
          <w:i/>
          <w:iCs/>
          <w:color w:val="000000"/>
          <w:sz w:val="21"/>
          <w:szCs w:val="21"/>
        </w:rPr>
        <w:t>Reuters</w:t>
      </w:r>
      <w:r w:rsidRPr="00657935">
        <w:rPr>
          <w:rFonts w:ascii="Arial" w:eastAsia="Times New Roman" w:hAnsi="Arial" w:cs="Arial"/>
          <w:color w:val="000000"/>
          <w:sz w:val="21"/>
          <w:szCs w:val="21"/>
        </w:rPr>
        <w:t>. Retrieved from http://www.reuters.com/article/2010/12/23/us-markets-oil-idUSTRE6BD61U20101223</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Lewis, N. (2011, February 3). </w:t>
      </w:r>
      <w:hyperlink r:id="rId12" w:tgtFrame="_blank" w:history="1">
        <w:r w:rsidRPr="00657935">
          <w:rPr>
            <w:rFonts w:ascii="Arial" w:eastAsia="Times New Roman" w:hAnsi="Arial" w:cs="Arial"/>
            <w:color w:val="0065A0"/>
            <w:sz w:val="21"/>
            <w:szCs w:val="21"/>
            <w:u w:val="single"/>
          </w:rPr>
          <w:t>Where did floating currencies come from?</w:t>
        </w:r>
      </w:hyperlink>
      <w:r w:rsidRPr="00657935">
        <w:rPr>
          <w:rFonts w:ascii="Arial" w:eastAsia="Times New Roman" w:hAnsi="Arial" w:cs="Arial"/>
          <w:color w:val="000000"/>
          <w:sz w:val="21"/>
          <w:szCs w:val="21"/>
        </w:rPr>
        <w:t> </w:t>
      </w:r>
      <w:r w:rsidRPr="00657935">
        <w:rPr>
          <w:rFonts w:ascii="Arial" w:eastAsia="Times New Roman" w:hAnsi="Arial" w:cs="Arial"/>
          <w:i/>
          <w:iCs/>
          <w:color w:val="000000"/>
          <w:sz w:val="21"/>
          <w:szCs w:val="21"/>
        </w:rPr>
        <w:t>Forbes</w:t>
      </w:r>
      <w:r w:rsidRPr="00657935">
        <w:rPr>
          <w:rFonts w:ascii="Arial" w:eastAsia="Times New Roman" w:hAnsi="Arial" w:cs="Arial"/>
          <w:color w:val="000000"/>
          <w:sz w:val="21"/>
          <w:szCs w:val="21"/>
        </w:rPr>
        <w:t>. Retrieved from http://www.forbes.com/2011/02/03/gold-standard-dollar-economics-opinions-contributors-nathan-lewis.html</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New York University History Department. (2007). </w:t>
      </w:r>
      <w:hyperlink r:id="rId13" w:tgtFrame="_blank" w:history="1">
        <w:r w:rsidRPr="00657935">
          <w:rPr>
            <w:rFonts w:ascii="Arial" w:eastAsia="Times New Roman" w:hAnsi="Arial" w:cs="Arial"/>
            <w:color w:val="0065A0"/>
            <w:sz w:val="21"/>
            <w:szCs w:val="21"/>
            <w:u w:val="single"/>
          </w:rPr>
          <w:t>Bretton Woods Agreement</w:t>
        </w:r>
      </w:hyperlink>
      <w:r w:rsidRPr="00657935">
        <w:rPr>
          <w:rFonts w:ascii="Arial" w:eastAsia="Times New Roman" w:hAnsi="Arial" w:cs="Arial"/>
          <w:color w:val="000000"/>
          <w:sz w:val="21"/>
          <w:szCs w:val="21"/>
        </w:rPr>
        <w:t>. Retrieved from the New York University History Department’s Modern America Wiki: https://wikis.nyu.edu/ek6/modernamerica/index.php/Industry/BrettonWoodsAgreement</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proofErr w:type="spellStart"/>
      <w:r w:rsidRPr="00657935">
        <w:rPr>
          <w:rFonts w:ascii="Arial" w:eastAsia="Times New Roman" w:hAnsi="Arial" w:cs="Arial"/>
          <w:color w:val="000000"/>
          <w:sz w:val="21"/>
          <w:szCs w:val="21"/>
        </w:rPr>
        <w:t>Trumbore</w:t>
      </w:r>
      <w:proofErr w:type="spellEnd"/>
      <w:r w:rsidRPr="00657935">
        <w:rPr>
          <w:rFonts w:ascii="Arial" w:eastAsia="Times New Roman" w:hAnsi="Arial" w:cs="Arial"/>
          <w:color w:val="000000"/>
          <w:sz w:val="21"/>
          <w:szCs w:val="21"/>
        </w:rPr>
        <w:t>, B. </w:t>
      </w:r>
      <w:hyperlink r:id="rId14" w:tgtFrame="_blank" w:history="1">
        <w:r w:rsidRPr="00657935">
          <w:rPr>
            <w:rFonts w:ascii="Arial" w:eastAsia="Times New Roman" w:hAnsi="Arial" w:cs="Arial"/>
            <w:color w:val="0065A0"/>
            <w:sz w:val="21"/>
            <w:szCs w:val="21"/>
            <w:u w:val="single"/>
          </w:rPr>
          <w:t>The Arab oil embargo of 1973-74</w:t>
        </w:r>
      </w:hyperlink>
      <w:r w:rsidRPr="00657935">
        <w:rPr>
          <w:rFonts w:ascii="Arial" w:eastAsia="Times New Roman" w:hAnsi="Arial" w:cs="Arial"/>
          <w:color w:val="000000"/>
          <w:sz w:val="21"/>
          <w:szCs w:val="21"/>
        </w:rPr>
        <w:t>. </w:t>
      </w:r>
      <w:proofErr w:type="spellStart"/>
      <w:r w:rsidRPr="00657935">
        <w:rPr>
          <w:rFonts w:ascii="Arial" w:eastAsia="Times New Roman" w:hAnsi="Arial" w:cs="Arial"/>
          <w:i/>
          <w:iCs/>
          <w:color w:val="000000"/>
          <w:sz w:val="21"/>
          <w:szCs w:val="21"/>
        </w:rPr>
        <w:t>BUYandHOLD</w:t>
      </w:r>
      <w:proofErr w:type="spellEnd"/>
      <w:r w:rsidRPr="00657935">
        <w:rPr>
          <w:rFonts w:ascii="Arial" w:eastAsia="Times New Roman" w:hAnsi="Arial" w:cs="Arial"/>
          <w:color w:val="000000"/>
          <w:sz w:val="21"/>
          <w:szCs w:val="21"/>
        </w:rPr>
        <w:t>. Retrieved from http://www.buyandhold.com/bh/en/education/history/2002/arab.html</w:t>
      </w:r>
    </w:p>
    <w:p w:rsidR="00657935" w:rsidRPr="00657935" w:rsidRDefault="00657935" w:rsidP="00657935">
      <w:pPr>
        <w:shd w:val="clear" w:color="auto" w:fill="FFFFFF"/>
        <w:spacing w:before="100" w:beforeAutospacing="1" w:after="100" w:afterAutospacing="1" w:line="240" w:lineRule="auto"/>
        <w:ind w:left="750"/>
        <w:rPr>
          <w:rFonts w:ascii="Arial" w:eastAsia="Times New Roman" w:hAnsi="Arial" w:cs="Arial"/>
          <w:color w:val="000000"/>
          <w:sz w:val="21"/>
          <w:szCs w:val="21"/>
        </w:rPr>
      </w:pPr>
      <w:r w:rsidRPr="00657935">
        <w:rPr>
          <w:rFonts w:ascii="Arial" w:eastAsia="Times New Roman" w:hAnsi="Arial" w:cs="Arial"/>
          <w:color w:val="000000"/>
          <w:sz w:val="21"/>
          <w:szCs w:val="21"/>
        </w:rPr>
        <w:t>United States Energy Information Administration. (2006). </w:t>
      </w:r>
      <w:hyperlink r:id="rId15" w:tgtFrame="_blank" w:history="1">
        <w:r w:rsidRPr="00657935">
          <w:rPr>
            <w:rFonts w:ascii="Arial" w:eastAsia="Times New Roman" w:hAnsi="Arial" w:cs="Arial"/>
            <w:color w:val="0065A0"/>
            <w:sz w:val="21"/>
            <w:szCs w:val="21"/>
            <w:u w:val="single"/>
          </w:rPr>
          <w:t>Economic effects of high oil prices</w:t>
        </w:r>
      </w:hyperlink>
      <w:r w:rsidRPr="00657935">
        <w:rPr>
          <w:rFonts w:ascii="Arial" w:eastAsia="Times New Roman" w:hAnsi="Arial" w:cs="Arial"/>
          <w:color w:val="000000"/>
          <w:sz w:val="21"/>
          <w:szCs w:val="21"/>
        </w:rPr>
        <w:t>. Retrieved from http://www.eia.doe.gov/oiaf/aeo/otheranalysis/aeo_2006analysispapers/efhop.html</w:t>
      </w:r>
    </w:p>
    <w:p w:rsidR="00CE3B91" w:rsidRDefault="00700D4F"/>
    <w:sectPr w:rsidR="00CE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284"/>
    <w:multiLevelType w:val="hybridMultilevel"/>
    <w:tmpl w:val="104A33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2223A"/>
    <w:multiLevelType w:val="multilevel"/>
    <w:tmpl w:val="9E92B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C642E"/>
    <w:multiLevelType w:val="multilevel"/>
    <w:tmpl w:val="0F3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35"/>
    <w:rsid w:val="0015521D"/>
    <w:rsid w:val="00657935"/>
    <w:rsid w:val="00700D4F"/>
    <w:rsid w:val="00E22039"/>
    <w:rsid w:val="00EE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07CE"/>
  <w15:chartTrackingRefBased/>
  <w15:docId w15:val="{57577C8E-D60A-46D0-BE6E-3759DFA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35"/>
    <w:pPr>
      <w:ind w:left="720"/>
      <w:contextualSpacing/>
    </w:pPr>
  </w:style>
  <w:style w:type="paragraph" w:styleId="NormalWeb">
    <w:name w:val="Normal (Web)"/>
    <w:basedOn w:val="Normal"/>
    <w:uiPriority w:val="99"/>
    <w:semiHidden/>
    <w:unhideWhenUsed/>
    <w:rsid w:val="00657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7935"/>
  </w:style>
  <w:style w:type="character" w:styleId="Emphasis">
    <w:name w:val="Emphasis"/>
    <w:basedOn w:val="DefaultParagraphFont"/>
    <w:uiPriority w:val="20"/>
    <w:qFormat/>
    <w:rsid w:val="00657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8167">
      <w:bodyDiv w:val="1"/>
      <w:marLeft w:val="0"/>
      <w:marRight w:val="0"/>
      <w:marTop w:val="0"/>
      <w:marBottom w:val="0"/>
      <w:divBdr>
        <w:top w:val="none" w:sz="0" w:space="0" w:color="auto"/>
        <w:left w:val="none" w:sz="0" w:space="0" w:color="auto"/>
        <w:bottom w:val="none" w:sz="0" w:space="0" w:color="auto"/>
        <w:right w:val="none" w:sz="0" w:space="0" w:color="auto"/>
      </w:divBdr>
      <w:divsChild>
        <w:div w:id="1063600754">
          <w:marLeft w:val="0"/>
          <w:marRight w:val="0"/>
          <w:marTop w:val="0"/>
          <w:marBottom w:val="0"/>
          <w:divBdr>
            <w:top w:val="none" w:sz="0" w:space="0" w:color="auto"/>
            <w:left w:val="none" w:sz="0" w:space="0" w:color="auto"/>
            <w:bottom w:val="none" w:sz="0" w:space="0" w:color="auto"/>
            <w:right w:val="none" w:sz="0" w:space="0" w:color="auto"/>
          </w:divBdr>
          <w:divsChild>
            <w:div w:id="14975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7597">
      <w:bodyDiv w:val="1"/>
      <w:marLeft w:val="0"/>
      <w:marRight w:val="0"/>
      <w:marTop w:val="0"/>
      <w:marBottom w:val="0"/>
      <w:divBdr>
        <w:top w:val="none" w:sz="0" w:space="0" w:color="auto"/>
        <w:left w:val="none" w:sz="0" w:space="0" w:color="auto"/>
        <w:bottom w:val="none" w:sz="0" w:space="0" w:color="auto"/>
        <w:right w:val="none" w:sz="0" w:space="0" w:color="auto"/>
      </w:divBdr>
    </w:div>
    <w:div w:id="1781558916">
      <w:bodyDiv w:val="1"/>
      <w:marLeft w:val="0"/>
      <w:marRight w:val="0"/>
      <w:marTop w:val="0"/>
      <w:marBottom w:val="0"/>
      <w:divBdr>
        <w:top w:val="none" w:sz="0" w:space="0" w:color="auto"/>
        <w:left w:val="none" w:sz="0" w:space="0" w:color="auto"/>
        <w:bottom w:val="none" w:sz="0" w:space="0" w:color="auto"/>
        <w:right w:val="none" w:sz="0" w:space="0" w:color="auto"/>
      </w:divBdr>
      <w:divsChild>
        <w:div w:id="1932348764">
          <w:marLeft w:val="0"/>
          <w:marRight w:val="0"/>
          <w:marTop w:val="0"/>
          <w:marBottom w:val="0"/>
          <w:divBdr>
            <w:top w:val="none" w:sz="0" w:space="0" w:color="auto"/>
            <w:left w:val="none" w:sz="0" w:space="0" w:color="auto"/>
            <w:bottom w:val="none" w:sz="0" w:space="0" w:color="auto"/>
            <w:right w:val="none" w:sz="0" w:space="0" w:color="auto"/>
          </w:divBdr>
          <w:divsChild>
            <w:div w:id="1334068025">
              <w:marLeft w:val="0"/>
              <w:marRight w:val="0"/>
              <w:marTop w:val="0"/>
              <w:marBottom w:val="0"/>
              <w:divBdr>
                <w:top w:val="none" w:sz="0" w:space="0" w:color="auto"/>
                <w:left w:val="none" w:sz="0" w:space="0" w:color="auto"/>
                <w:bottom w:val="none" w:sz="0" w:space="0" w:color="auto"/>
                <w:right w:val="none" w:sz="0" w:space="0" w:color="auto"/>
              </w:divBdr>
              <w:divsChild>
                <w:div w:id="1050298805">
                  <w:marLeft w:val="0"/>
                  <w:marRight w:val="0"/>
                  <w:marTop w:val="0"/>
                  <w:marBottom w:val="0"/>
                  <w:divBdr>
                    <w:top w:val="none" w:sz="0" w:space="0" w:color="auto"/>
                    <w:left w:val="none" w:sz="0" w:space="0" w:color="auto"/>
                    <w:bottom w:val="none" w:sz="0" w:space="0" w:color="auto"/>
                    <w:right w:val="none" w:sz="0" w:space="0" w:color="auto"/>
                  </w:divBdr>
                  <w:divsChild>
                    <w:div w:id="1319924135">
                      <w:marLeft w:val="0"/>
                      <w:marRight w:val="0"/>
                      <w:marTop w:val="0"/>
                      <w:marBottom w:val="0"/>
                      <w:divBdr>
                        <w:top w:val="none" w:sz="0" w:space="0" w:color="auto"/>
                        <w:left w:val="none" w:sz="0" w:space="0" w:color="auto"/>
                        <w:bottom w:val="none" w:sz="0" w:space="0" w:color="auto"/>
                        <w:right w:val="none" w:sz="0" w:space="0" w:color="auto"/>
                      </w:divBdr>
                      <w:divsChild>
                        <w:div w:id="8428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howstuffworks.com/fuel-efficiency/fuel-consumption/gas-price6.htm" TargetMode="External"/><Relationship Id="rId13" Type="http://schemas.openxmlformats.org/officeDocument/2006/relationships/hyperlink" Target="https://wikis.nyu.edu/ek6/modernamerica/index.php/Industry/BrettonWoodsAgreement" TargetMode="External"/><Relationship Id="rId3" Type="http://schemas.openxmlformats.org/officeDocument/2006/relationships/settings" Target="settings.xml"/><Relationship Id="rId7" Type="http://schemas.openxmlformats.org/officeDocument/2006/relationships/hyperlink" Target="http://recession.org/history/1970s-oil-crisis" TargetMode="External"/><Relationship Id="rId12" Type="http://schemas.openxmlformats.org/officeDocument/2006/relationships/hyperlink" Target="http://www.forbes.com/2011/02/03/gold-standard-dollar-economics-opinions-contributors-nathan-lewi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asandoil.com/goc/news/ntm52587.htm" TargetMode="External"/><Relationship Id="rId11" Type="http://schemas.openxmlformats.org/officeDocument/2006/relationships/hyperlink" Target="http://www.reuters.com/article/2010/12/23/us-markets-oil-idUSTRE6BD61U20101223" TargetMode="External"/><Relationship Id="rId5" Type="http://schemas.openxmlformats.org/officeDocument/2006/relationships/hyperlink" Target="http://www.treasury.gov/resource-center/data-chart-center/tic/Documents/mfh.txt" TargetMode="External"/><Relationship Id="rId15" Type="http://schemas.openxmlformats.org/officeDocument/2006/relationships/hyperlink" Target="http://www.eia.doe.gov/oiaf/aeo/otheranalysis/aeo_2006analysispapers/efhop.html" TargetMode="External"/><Relationship Id="rId10" Type="http://schemas.openxmlformats.org/officeDocument/2006/relationships/hyperlink" Target="http://www.econbrowser.com/archives/2008/06/the_oil_shock_o.html" TargetMode="External"/><Relationship Id="rId4" Type="http://schemas.openxmlformats.org/officeDocument/2006/relationships/webSettings" Target="webSettings.xml"/><Relationship Id="rId9" Type="http://schemas.openxmlformats.org/officeDocument/2006/relationships/hyperlink" Target="http://www.cbo.gov/ftpdocs/88xx/doc8893/Chapter2.6.1.shtml" TargetMode="External"/><Relationship Id="rId14" Type="http://schemas.openxmlformats.org/officeDocument/2006/relationships/hyperlink" Target="http://www.buyandhold.com/bh/en/education/history/2002/ar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Linson</dc:creator>
  <cp:keywords/>
  <dc:description/>
  <cp:lastModifiedBy>Sherry Linson</cp:lastModifiedBy>
  <cp:revision>3</cp:revision>
  <dcterms:created xsi:type="dcterms:W3CDTF">2016-10-19T15:31:00Z</dcterms:created>
  <dcterms:modified xsi:type="dcterms:W3CDTF">2016-10-20T00:38:00Z</dcterms:modified>
</cp:coreProperties>
</file>