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4E" w:rsidRDefault="0051094E" w:rsidP="00296A73">
      <w:pPr>
        <w:spacing w:line="480" w:lineRule="auto"/>
        <w:rPr>
          <w:rFonts w:ascii="Times New Roman" w:hAnsi="Times New Roman" w:cs="Times New Roman"/>
          <w:sz w:val="24"/>
          <w:szCs w:val="24"/>
        </w:rPr>
      </w:pPr>
    </w:p>
    <w:p w:rsidR="0051094E" w:rsidRDefault="0051094E" w:rsidP="0051094E">
      <w:pPr>
        <w:spacing w:line="480" w:lineRule="auto"/>
        <w:jc w:val="center"/>
        <w:rPr>
          <w:rFonts w:ascii="Times New Roman" w:hAnsi="Times New Roman" w:cs="Times New Roman"/>
          <w:sz w:val="24"/>
          <w:szCs w:val="24"/>
        </w:rPr>
      </w:pPr>
    </w:p>
    <w:p w:rsidR="00296A73" w:rsidRDefault="00296A73" w:rsidP="0051094E">
      <w:pPr>
        <w:spacing w:line="480" w:lineRule="auto"/>
        <w:jc w:val="center"/>
        <w:rPr>
          <w:rFonts w:ascii="Times New Roman" w:hAnsi="Times New Roman" w:cs="Times New Roman"/>
          <w:sz w:val="24"/>
          <w:szCs w:val="24"/>
        </w:rPr>
      </w:pPr>
    </w:p>
    <w:p w:rsidR="00296A73" w:rsidRDefault="00296A73" w:rsidP="0051094E">
      <w:pPr>
        <w:spacing w:line="480" w:lineRule="auto"/>
        <w:jc w:val="center"/>
        <w:rPr>
          <w:rFonts w:ascii="Times New Roman" w:hAnsi="Times New Roman" w:cs="Times New Roman"/>
          <w:sz w:val="24"/>
          <w:szCs w:val="24"/>
        </w:rPr>
      </w:pPr>
    </w:p>
    <w:p w:rsidR="00296A73" w:rsidRDefault="00296A73" w:rsidP="0051094E">
      <w:pPr>
        <w:spacing w:line="480" w:lineRule="auto"/>
        <w:jc w:val="center"/>
        <w:rPr>
          <w:rFonts w:ascii="Times New Roman" w:hAnsi="Times New Roman" w:cs="Times New Roman"/>
          <w:sz w:val="24"/>
          <w:szCs w:val="24"/>
        </w:rPr>
      </w:pPr>
    </w:p>
    <w:p w:rsidR="00296A73" w:rsidRDefault="00296A73" w:rsidP="0051094E">
      <w:pPr>
        <w:spacing w:line="480" w:lineRule="auto"/>
        <w:jc w:val="center"/>
        <w:rPr>
          <w:rFonts w:ascii="Times New Roman" w:hAnsi="Times New Roman" w:cs="Times New Roman"/>
          <w:sz w:val="24"/>
          <w:szCs w:val="24"/>
        </w:rPr>
      </w:pPr>
    </w:p>
    <w:p w:rsidR="0051094E" w:rsidRDefault="0095397E" w:rsidP="00296A73">
      <w:pPr>
        <w:spacing w:line="480" w:lineRule="auto"/>
        <w:jc w:val="center"/>
        <w:rPr>
          <w:rFonts w:ascii="Times New Roman" w:hAnsi="Times New Roman" w:cs="Times New Roman"/>
          <w:sz w:val="24"/>
          <w:szCs w:val="24"/>
        </w:rPr>
      </w:pPr>
      <w:r>
        <w:rPr>
          <w:rFonts w:ascii="Times New Roman" w:hAnsi="Times New Roman" w:cs="Times New Roman"/>
          <w:sz w:val="24"/>
          <w:szCs w:val="24"/>
        </w:rPr>
        <w:t>Equity Evaluation and Analysis</w:t>
      </w:r>
    </w:p>
    <w:p w:rsidR="0051094E" w:rsidRDefault="0051094E" w:rsidP="0051094E">
      <w:pPr>
        <w:spacing w:line="480" w:lineRule="auto"/>
        <w:jc w:val="center"/>
        <w:rPr>
          <w:rFonts w:ascii="Times New Roman" w:hAnsi="Times New Roman" w:cs="Times New Roman"/>
          <w:sz w:val="24"/>
          <w:szCs w:val="24"/>
        </w:rPr>
      </w:pPr>
    </w:p>
    <w:p w:rsidR="0051094E" w:rsidRDefault="0051094E" w:rsidP="0051094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1094E" w:rsidRDefault="0051094E" w:rsidP="0051094E">
      <w:pPr>
        <w:spacing w:line="480" w:lineRule="auto"/>
        <w:jc w:val="center"/>
        <w:rPr>
          <w:rFonts w:ascii="Times New Roman" w:hAnsi="Times New Roman" w:cs="Times New Roman"/>
          <w:sz w:val="24"/>
          <w:szCs w:val="24"/>
        </w:rPr>
      </w:pPr>
    </w:p>
    <w:p w:rsidR="0051094E" w:rsidRDefault="0051094E" w:rsidP="0051094E">
      <w:pPr>
        <w:spacing w:line="480" w:lineRule="auto"/>
        <w:jc w:val="center"/>
        <w:rPr>
          <w:rFonts w:ascii="Times New Roman" w:hAnsi="Times New Roman" w:cs="Times New Roman"/>
          <w:sz w:val="24"/>
          <w:szCs w:val="24"/>
        </w:rPr>
      </w:pPr>
    </w:p>
    <w:p w:rsidR="0051094E" w:rsidRDefault="0051094E" w:rsidP="0051094E">
      <w:pPr>
        <w:spacing w:line="480" w:lineRule="auto"/>
        <w:jc w:val="center"/>
        <w:rPr>
          <w:rFonts w:ascii="Times New Roman" w:hAnsi="Times New Roman" w:cs="Times New Roman"/>
          <w:sz w:val="24"/>
          <w:szCs w:val="24"/>
        </w:rPr>
      </w:pPr>
      <w:r>
        <w:rPr>
          <w:rFonts w:ascii="Times New Roman" w:hAnsi="Times New Roman" w:cs="Times New Roman"/>
          <w:sz w:val="24"/>
          <w:szCs w:val="24"/>
        </w:rPr>
        <w:t>Code+ course name:</w:t>
      </w:r>
    </w:p>
    <w:p w:rsidR="0051094E" w:rsidRDefault="0051094E" w:rsidP="0051094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51094E" w:rsidRDefault="0051094E" w:rsidP="0051094E">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name:</w:t>
      </w:r>
    </w:p>
    <w:p w:rsidR="0051094E" w:rsidRDefault="0051094E" w:rsidP="0051094E">
      <w:pPr>
        <w:spacing w:line="480" w:lineRule="auto"/>
        <w:jc w:val="center"/>
        <w:rPr>
          <w:rFonts w:ascii="Times New Roman" w:hAnsi="Times New Roman" w:cs="Times New Roman"/>
          <w:sz w:val="24"/>
          <w:szCs w:val="24"/>
        </w:rPr>
      </w:pPr>
      <w:r>
        <w:rPr>
          <w:rFonts w:ascii="Times New Roman" w:hAnsi="Times New Roman" w:cs="Times New Roman"/>
          <w:sz w:val="24"/>
          <w:szCs w:val="24"/>
        </w:rPr>
        <w:t>City, State:</w:t>
      </w:r>
    </w:p>
    <w:p w:rsidR="0051094E" w:rsidRDefault="0051094E" w:rsidP="0051094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r>
    </w:p>
    <w:p w:rsidR="008A04C8" w:rsidRPr="00D5304E" w:rsidRDefault="008A04C8" w:rsidP="00296A73">
      <w:pPr>
        <w:spacing w:line="480" w:lineRule="auto"/>
        <w:jc w:val="center"/>
        <w:rPr>
          <w:rFonts w:ascii="Times New Roman" w:hAnsi="Times New Roman" w:cs="Times New Roman"/>
          <w:sz w:val="24"/>
          <w:szCs w:val="24"/>
        </w:rPr>
      </w:pPr>
      <w:r w:rsidRPr="00D5304E">
        <w:rPr>
          <w:rFonts w:ascii="Times New Roman" w:hAnsi="Times New Roman" w:cs="Times New Roman"/>
          <w:sz w:val="24"/>
          <w:szCs w:val="24"/>
        </w:rPr>
        <w:lastRenderedPageBreak/>
        <w:t>Crown Resorts Limited</w:t>
      </w:r>
    </w:p>
    <w:p w:rsidR="00D6033C" w:rsidRPr="00D5304E" w:rsidRDefault="00B50537" w:rsidP="00D5304E">
      <w:pPr>
        <w:spacing w:line="480" w:lineRule="auto"/>
        <w:ind w:firstLine="720"/>
        <w:rPr>
          <w:rFonts w:ascii="Times New Roman" w:hAnsi="Times New Roman" w:cs="Times New Roman"/>
          <w:sz w:val="24"/>
          <w:szCs w:val="24"/>
        </w:rPr>
      </w:pPr>
      <w:r w:rsidRPr="00D5304E">
        <w:rPr>
          <w:rFonts w:ascii="Times New Roman" w:hAnsi="Times New Roman" w:cs="Times New Roman"/>
          <w:sz w:val="24"/>
          <w:szCs w:val="24"/>
        </w:rPr>
        <w:t xml:space="preserve">Crown Resorts Limited is an Australian entertainment company. </w:t>
      </w:r>
      <w:r w:rsidR="00F94328" w:rsidRPr="00D5304E">
        <w:rPr>
          <w:rFonts w:ascii="Times New Roman" w:hAnsi="Times New Roman" w:cs="Times New Roman"/>
          <w:sz w:val="24"/>
          <w:szCs w:val="24"/>
        </w:rPr>
        <w:t xml:space="preserve"> </w:t>
      </w:r>
      <w:r w:rsidR="00B7124C" w:rsidRPr="00D5304E">
        <w:rPr>
          <w:rFonts w:ascii="Times New Roman" w:hAnsi="Times New Roman" w:cs="Times New Roman"/>
          <w:sz w:val="24"/>
          <w:szCs w:val="24"/>
        </w:rPr>
        <w:t xml:space="preserve">The main business of the entertainment company is resort </w:t>
      </w:r>
      <w:r w:rsidR="000E6194" w:rsidRPr="00D5304E">
        <w:rPr>
          <w:rFonts w:ascii="Times New Roman" w:hAnsi="Times New Roman" w:cs="Times New Roman"/>
          <w:sz w:val="24"/>
          <w:szCs w:val="24"/>
        </w:rPr>
        <w:t xml:space="preserve">in the entertainment </w:t>
      </w:r>
      <w:r w:rsidR="00B7124C" w:rsidRPr="00D5304E">
        <w:rPr>
          <w:rFonts w:ascii="Times New Roman" w:hAnsi="Times New Roman" w:cs="Times New Roman"/>
          <w:sz w:val="24"/>
          <w:szCs w:val="24"/>
        </w:rPr>
        <w:t xml:space="preserve">industry and the company owns two resorts </w:t>
      </w:r>
      <w:r w:rsidR="00526C70" w:rsidRPr="00D5304E">
        <w:rPr>
          <w:rFonts w:ascii="Times New Roman" w:hAnsi="Times New Roman" w:cs="Times New Roman"/>
          <w:sz w:val="24"/>
          <w:szCs w:val="24"/>
        </w:rPr>
        <w:t xml:space="preserve">in Australia </w:t>
      </w:r>
      <w:r w:rsidR="00B7124C" w:rsidRPr="00D5304E">
        <w:rPr>
          <w:rFonts w:ascii="Times New Roman" w:hAnsi="Times New Roman" w:cs="Times New Roman"/>
          <w:sz w:val="24"/>
          <w:szCs w:val="24"/>
        </w:rPr>
        <w:t>namely</w:t>
      </w:r>
      <w:r w:rsidR="00526C70" w:rsidRPr="00D5304E">
        <w:rPr>
          <w:rFonts w:ascii="Times New Roman" w:hAnsi="Times New Roman" w:cs="Times New Roman"/>
          <w:sz w:val="24"/>
          <w:szCs w:val="24"/>
        </w:rPr>
        <w:t xml:space="preserve"> Crown Perth Entertainment Complex and Crown Melbourne Entertainment Complex. </w:t>
      </w:r>
      <w:r w:rsidR="006D7D1F" w:rsidRPr="00D5304E">
        <w:rPr>
          <w:rFonts w:ascii="Times New Roman" w:hAnsi="Times New Roman" w:cs="Times New Roman"/>
          <w:sz w:val="24"/>
          <w:szCs w:val="24"/>
        </w:rPr>
        <w:t xml:space="preserve">Further, the company also has an overseas entertainment company in London called Crown </w:t>
      </w:r>
      <w:proofErr w:type="spellStart"/>
      <w:r w:rsidR="006D7D1F" w:rsidRPr="00D5304E">
        <w:rPr>
          <w:rFonts w:ascii="Times New Roman" w:hAnsi="Times New Roman" w:cs="Times New Roman"/>
          <w:sz w:val="24"/>
          <w:szCs w:val="24"/>
        </w:rPr>
        <w:t>Aspinall’</w:t>
      </w:r>
      <w:r w:rsidR="00A106DD" w:rsidRPr="00D5304E">
        <w:rPr>
          <w:rFonts w:ascii="Times New Roman" w:hAnsi="Times New Roman" w:cs="Times New Roman"/>
          <w:sz w:val="24"/>
          <w:szCs w:val="24"/>
        </w:rPr>
        <w:t>s</w:t>
      </w:r>
      <w:proofErr w:type="spellEnd"/>
      <w:r w:rsidR="00A106DD" w:rsidRPr="00D5304E">
        <w:rPr>
          <w:rFonts w:ascii="Times New Roman" w:hAnsi="Times New Roman" w:cs="Times New Roman"/>
          <w:sz w:val="24"/>
          <w:szCs w:val="24"/>
        </w:rPr>
        <w:t xml:space="preserve">. The company deals with casino or hotel services and other gaming investments. </w:t>
      </w:r>
      <w:r w:rsidR="00907752" w:rsidRPr="00D5304E">
        <w:rPr>
          <w:rFonts w:ascii="Times New Roman" w:hAnsi="Times New Roman" w:cs="Times New Roman"/>
          <w:sz w:val="24"/>
          <w:szCs w:val="24"/>
        </w:rPr>
        <w:t>The customers to the business ranges from the young to the adult with a variety of services offered by the company</w:t>
      </w:r>
      <w:r w:rsidR="00B50F43">
        <w:rPr>
          <w:rFonts w:ascii="Times New Roman" w:hAnsi="Times New Roman" w:cs="Times New Roman"/>
          <w:sz w:val="24"/>
          <w:szCs w:val="24"/>
        </w:rPr>
        <w:t xml:space="preserve"> (Morningstar)</w:t>
      </w:r>
      <w:r w:rsidR="00907752" w:rsidRPr="00D5304E">
        <w:rPr>
          <w:rFonts w:ascii="Times New Roman" w:hAnsi="Times New Roman" w:cs="Times New Roman"/>
          <w:sz w:val="24"/>
          <w:szCs w:val="24"/>
        </w:rPr>
        <w:t xml:space="preserve">. </w:t>
      </w:r>
    </w:p>
    <w:p w:rsidR="00907752" w:rsidRPr="00D5304E" w:rsidRDefault="00907752" w:rsidP="00D5304E">
      <w:pPr>
        <w:spacing w:line="480" w:lineRule="auto"/>
        <w:jc w:val="center"/>
        <w:rPr>
          <w:rFonts w:ascii="Times New Roman" w:hAnsi="Times New Roman" w:cs="Times New Roman"/>
          <w:sz w:val="24"/>
          <w:szCs w:val="24"/>
        </w:rPr>
      </w:pPr>
      <w:r w:rsidRPr="00D5304E">
        <w:rPr>
          <w:rFonts w:ascii="Times New Roman" w:hAnsi="Times New Roman" w:cs="Times New Roman"/>
          <w:sz w:val="24"/>
          <w:szCs w:val="24"/>
        </w:rPr>
        <w:t xml:space="preserve">Flight </w:t>
      </w:r>
      <w:r w:rsidR="000E6194" w:rsidRPr="00D5304E">
        <w:rPr>
          <w:rFonts w:ascii="Times New Roman" w:hAnsi="Times New Roman" w:cs="Times New Roman"/>
          <w:sz w:val="24"/>
          <w:szCs w:val="24"/>
        </w:rPr>
        <w:t>Centre T</w:t>
      </w:r>
      <w:r w:rsidRPr="00D5304E">
        <w:rPr>
          <w:rFonts w:ascii="Times New Roman" w:hAnsi="Times New Roman" w:cs="Times New Roman"/>
          <w:sz w:val="24"/>
          <w:szCs w:val="24"/>
        </w:rPr>
        <w:t>ravel</w:t>
      </w:r>
    </w:p>
    <w:p w:rsidR="005A29DB" w:rsidRPr="00D5304E" w:rsidRDefault="000E6194" w:rsidP="00D5304E">
      <w:pPr>
        <w:spacing w:line="480" w:lineRule="auto"/>
        <w:ind w:firstLine="720"/>
        <w:rPr>
          <w:rFonts w:ascii="Times New Roman" w:hAnsi="Times New Roman" w:cs="Times New Roman"/>
          <w:sz w:val="24"/>
          <w:szCs w:val="24"/>
        </w:rPr>
      </w:pPr>
      <w:r w:rsidRPr="00D5304E">
        <w:rPr>
          <w:rFonts w:ascii="Times New Roman" w:hAnsi="Times New Roman" w:cs="Times New Roman"/>
          <w:sz w:val="24"/>
          <w:szCs w:val="24"/>
        </w:rPr>
        <w:t xml:space="preserve">Flight Centre Travel Group Ltd </w:t>
      </w:r>
      <w:r w:rsidR="007A5C04" w:rsidRPr="00D5304E">
        <w:rPr>
          <w:rFonts w:ascii="Times New Roman" w:hAnsi="Times New Roman" w:cs="Times New Roman"/>
          <w:sz w:val="24"/>
          <w:szCs w:val="24"/>
        </w:rPr>
        <w:t xml:space="preserve">is a retail travel agency founded in Australia. The company has a variety of brands that it operates in including Travel Associates, Flight Centre and Students Flights. It has an average of 1200 outlets in Australia and overseas including countries such as United Kingdom, South Africa, Japan, New Zealand and Canada. </w:t>
      </w:r>
      <w:r w:rsidR="00FF3E37" w:rsidRPr="00D5304E">
        <w:rPr>
          <w:rFonts w:ascii="Times New Roman" w:hAnsi="Times New Roman" w:cs="Times New Roman"/>
          <w:sz w:val="24"/>
          <w:szCs w:val="24"/>
        </w:rPr>
        <w:t xml:space="preserve">The primary business of the company is leisure travel in the entertainment industry. </w:t>
      </w:r>
      <w:r w:rsidR="005A29DB" w:rsidRPr="00D5304E">
        <w:rPr>
          <w:rFonts w:ascii="Times New Roman" w:hAnsi="Times New Roman" w:cs="Times New Roman"/>
          <w:sz w:val="24"/>
          <w:szCs w:val="24"/>
        </w:rPr>
        <w:t xml:space="preserve">The company’s customers are families, business groups and any other customer with the need for leisure </w:t>
      </w:r>
      <w:r w:rsidR="00CA2C5D" w:rsidRPr="00D5304E">
        <w:rPr>
          <w:rFonts w:ascii="Times New Roman" w:hAnsi="Times New Roman" w:cs="Times New Roman"/>
          <w:sz w:val="24"/>
          <w:szCs w:val="24"/>
        </w:rPr>
        <w:t>travel. The company operates in the entertainment industry</w:t>
      </w:r>
      <w:r w:rsidR="00B50F43">
        <w:rPr>
          <w:rFonts w:ascii="Times New Roman" w:hAnsi="Times New Roman" w:cs="Times New Roman"/>
          <w:sz w:val="24"/>
          <w:szCs w:val="24"/>
        </w:rPr>
        <w:t xml:space="preserve"> (Morningstar)</w:t>
      </w:r>
      <w:r w:rsidR="00CA2C5D" w:rsidRPr="00D5304E">
        <w:rPr>
          <w:rFonts w:ascii="Times New Roman" w:hAnsi="Times New Roman" w:cs="Times New Roman"/>
          <w:sz w:val="24"/>
          <w:szCs w:val="24"/>
        </w:rPr>
        <w:t xml:space="preserve">. </w:t>
      </w:r>
    </w:p>
    <w:p w:rsidR="00CF6091" w:rsidRPr="00D5304E" w:rsidRDefault="00CF6091" w:rsidP="00D5304E">
      <w:pPr>
        <w:spacing w:line="480" w:lineRule="auto"/>
        <w:jc w:val="center"/>
        <w:rPr>
          <w:rFonts w:ascii="Times New Roman" w:hAnsi="Times New Roman" w:cs="Times New Roman"/>
          <w:sz w:val="24"/>
          <w:szCs w:val="24"/>
        </w:rPr>
      </w:pPr>
      <w:r w:rsidRPr="00D5304E">
        <w:rPr>
          <w:rFonts w:ascii="Times New Roman" w:hAnsi="Times New Roman" w:cs="Times New Roman"/>
          <w:sz w:val="24"/>
          <w:szCs w:val="24"/>
        </w:rPr>
        <w:t>Star Entertainment Group</w:t>
      </w:r>
    </w:p>
    <w:p w:rsidR="000E6194" w:rsidRPr="00D5304E" w:rsidRDefault="00FF3E37" w:rsidP="00D5304E">
      <w:pPr>
        <w:spacing w:line="480" w:lineRule="auto"/>
        <w:ind w:firstLine="720"/>
        <w:rPr>
          <w:rFonts w:ascii="Times New Roman" w:hAnsi="Times New Roman" w:cs="Times New Roman"/>
          <w:sz w:val="24"/>
          <w:szCs w:val="24"/>
        </w:rPr>
      </w:pPr>
      <w:r w:rsidRPr="00D5304E">
        <w:rPr>
          <w:rFonts w:ascii="Times New Roman" w:hAnsi="Times New Roman" w:cs="Times New Roman"/>
          <w:sz w:val="24"/>
          <w:szCs w:val="24"/>
        </w:rPr>
        <w:t xml:space="preserve"> </w:t>
      </w:r>
      <w:r w:rsidR="00D45698" w:rsidRPr="00D5304E">
        <w:rPr>
          <w:rFonts w:ascii="Times New Roman" w:hAnsi="Times New Roman" w:cs="Times New Roman"/>
          <w:sz w:val="24"/>
          <w:szCs w:val="24"/>
        </w:rPr>
        <w:t>Star Entertainment Group is among the largest entertainment and gaming companies in Australia. The company operates a number of casinos</w:t>
      </w:r>
      <w:r w:rsidR="00AB147E" w:rsidRPr="00D5304E">
        <w:rPr>
          <w:rFonts w:ascii="Times New Roman" w:hAnsi="Times New Roman" w:cs="Times New Roman"/>
          <w:sz w:val="24"/>
          <w:szCs w:val="24"/>
        </w:rPr>
        <w:t xml:space="preserve"> and hotels including Jupiters Hotel and Casino, Treasury Casino and Hotel and the Star</w:t>
      </w:r>
      <w:r w:rsidR="00ED5CE0" w:rsidRPr="00D5304E">
        <w:rPr>
          <w:rFonts w:ascii="Times New Roman" w:hAnsi="Times New Roman" w:cs="Times New Roman"/>
          <w:sz w:val="24"/>
          <w:szCs w:val="24"/>
        </w:rPr>
        <w:t xml:space="preserve"> in Sydney. The major customers grou</w:t>
      </w:r>
      <w:r w:rsidR="00E51110" w:rsidRPr="00D5304E">
        <w:rPr>
          <w:rFonts w:ascii="Times New Roman" w:hAnsi="Times New Roman" w:cs="Times New Roman"/>
          <w:sz w:val="24"/>
          <w:szCs w:val="24"/>
        </w:rPr>
        <w:t>p</w:t>
      </w:r>
      <w:r w:rsidR="00ED5CE0" w:rsidRPr="00D5304E">
        <w:rPr>
          <w:rFonts w:ascii="Times New Roman" w:hAnsi="Times New Roman" w:cs="Times New Roman"/>
          <w:sz w:val="24"/>
          <w:szCs w:val="24"/>
        </w:rPr>
        <w:t xml:space="preserve"> for the </w:t>
      </w:r>
      <w:r w:rsidR="00ED5CE0" w:rsidRPr="00D5304E">
        <w:rPr>
          <w:rFonts w:ascii="Times New Roman" w:hAnsi="Times New Roman" w:cs="Times New Roman"/>
          <w:sz w:val="24"/>
          <w:szCs w:val="24"/>
        </w:rPr>
        <w:lastRenderedPageBreak/>
        <w:t xml:space="preserve">com any is the </w:t>
      </w:r>
      <w:r w:rsidR="00E51110" w:rsidRPr="00D5304E">
        <w:rPr>
          <w:rFonts w:ascii="Times New Roman" w:hAnsi="Times New Roman" w:cs="Times New Roman"/>
          <w:sz w:val="24"/>
          <w:szCs w:val="24"/>
        </w:rPr>
        <w:t xml:space="preserve">adult. However, some hotels have some gaming facilities for children and young adults. </w:t>
      </w:r>
      <w:r w:rsidR="00CA2C5D" w:rsidRPr="00D5304E">
        <w:rPr>
          <w:rFonts w:ascii="Times New Roman" w:hAnsi="Times New Roman" w:cs="Times New Roman"/>
          <w:sz w:val="24"/>
          <w:szCs w:val="24"/>
        </w:rPr>
        <w:t>The company o</w:t>
      </w:r>
      <w:r w:rsidR="00174A3B" w:rsidRPr="00D5304E">
        <w:rPr>
          <w:rFonts w:ascii="Times New Roman" w:hAnsi="Times New Roman" w:cs="Times New Roman"/>
          <w:sz w:val="24"/>
          <w:szCs w:val="24"/>
        </w:rPr>
        <w:t>p</w:t>
      </w:r>
      <w:r w:rsidR="00CA2C5D" w:rsidRPr="00D5304E">
        <w:rPr>
          <w:rFonts w:ascii="Times New Roman" w:hAnsi="Times New Roman" w:cs="Times New Roman"/>
          <w:sz w:val="24"/>
          <w:szCs w:val="24"/>
        </w:rPr>
        <w:t>erates in the entertainment industry</w:t>
      </w:r>
      <w:r w:rsidR="00B50F43">
        <w:rPr>
          <w:rFonts w:ascii="Times New Roman" w:hAnsi="Times New Roman" w:cs="Times New Roman"/>
          <w:sz w:val="24"/>
          <w:szCs w:val="24"/>
        </w:rPr>
        <w:t xml:space="preserve"> (Morningstar)</w:t>
      </w:r>
      <w:r w:rsidR="00CA2C5D" w:rsidRPr="00D5304E">
        <w:rPr>
          <w:rFonts w:ascii="Times New Roman" w:hAnsi="Times New Roman" w:cs="Times New Roman"/>
          <w:sz w:val="24"/>
          <w:szCs w:val="24"/>
        </w:rPr>
        <w:t xml:space="preserve">. </w:t>
      </w:r>
    </w:p>
    <w:p w:rsidR="00174A3B" w:rsidRDefault="00174A3B" w:rsidP="00D5304E">
      <w:pPr>
        <w:spacing w:line="480" w:lineRule="auto"/>
        <w:jc w:val="center"/>
        <w:rPr>
          <w:rFonts w:ascii="Times New Roman" w:hAnsi="Times New Roman" w:cs="Times New Roman"/>
          <w:sz w:val="24"/>
          <w:szCs w:val="24"/>
        </w:rPr>
      </w:pPr>
      <w:r w:rsidRPr="00D5304E">
        <w:rPr>
          <w:rFonts w:ascii="Times New Roman" w:hAnsi="Times New Roman" w:cs="Times New Roman"/>
          <w:sz w:val="24"/>
          <w:szCs w:val="24"/>
        </w:rPr>
        <w:t xml:space="preserve">Financial </w:t>
      </w:r>
      <w:r w:rsidR="00D5304E">
        <w:rPr>
          <w:rFonts w:ascii="Times New Roman" w:hAnsi="Times New Roman" w:cs="Times New Roman"/>
          <w:sz w:val="24"/>
          <w:szCs w:val="24"/>
        </w:rPr>
        <w:t>P</w:t>
      </w:r>
      <w:r w:rsidRPr="00D5304E">
        <w:rPr>
          <w:rFonts w:ascii="Times New Roman" w:hAnsi="Times New Roman" w:cs="Times New Roman"/>
          <w:sz w:val="24"/>
          <w:szCs w:val="24"/>
        </w:rPr>
        <w:t>erformance</w:t>
      </w:r>
    </w:p>
    <w:p w:rsidR="005D3BF0" w:rsidRPr="00D5304E" w:rsidRDefault="00FA0D11" w:rsidP="005D3BF0">
      <w:pPr>
        <w:spacing w:line="480" w:lineRule="auto"/>
        <w:rPr>
          <w:rFonts w:ascii="Times New Roman" w:hAnsi="Times New Roman" w:cs="Times New Roman"/>
          <w:sz w:val="24"/>
          <w:szCs w:val="24"/>
        </w:rPr>
      </w:pPr>
      <w:r>
        <w:rPr>
          <w:rFonts w:ascii="Times New Roman" w:hAnsi="Times New Roman" w:cs="Times New Roman"/>
          <w:sz w:val="24"/>
          <w:szCs w:val="24"/>
        </w:rPr>
        <w:t>Table 1: CWN Analysis</w:t>
      </w:r>
    </w:p>
    <w:tbl>
      <w:tblPr>
        <w:tblStyle w:val="TableGrid"/>
        <w:tblpPr w:leftFromText="180" w:rightFromText="180" w:vertAnchor="text" w:tblpY="1"/>
        <w:tblOverlap w:val="never"/>
        <w:tblW w:w="0" w:type="auto"/>
        <w:tblLayout w:type="fixed"/>
        <w:tblLook w:val="04A0"/>
      </w:tblPr>
      <w:tblGrid>
        <w:gridCol w:w="2448"/>
        <w:gridCol w:w="1620"/>
        <w:gridCol w:w="1170"/>
        <w:gridCol w:w="1170"/>
        <w:gridCol w:w="1440"/>
      </w:tblGrid>
      <w:tr w:rsidR="00FA1457" w:rsidRPr="00D5304E" w:rsidTr="00585259">
        <w:tc>
          <w:tcPr>
            <w:tcW w:w="2448" w:type="dxa"/>
          </w:tcPr>
          <w:p w:rsidR="00FA1457" w:rsidRPr="005D3BF0" w:rsidRDefault="00FA1457" w:rsidP="00585259">
            <w:pPr>
              <w:spacing w:line="480" w:lineRule="auto"/>
              <w:rPr>
                <w:rFonts w:ascii="Times New Roman" w:hAnsi="Times New Roman" w:cs="Times New Roman"/>
                <w:b/>
                <w:sz w:val="24"/>
                <w:szCs w:val="24"/>
              </w:rPr>
            </w:pPr>
            <w:r w:rsidRPr="005D3BF0">
              <w:rPr>
                <w:rFonts w:ascii="Times New Roman" w:hAnsi="Times New Roman" w:cs="Times New Roman"/>
                <w:b/>
                <w:sz w:val="24"/>
                <w:szCs w:val="24"/>
              </w:rPr>
              <w:t>Company Name</w:t>
            </w:r>
          </w:p>
        </w:tc>
        <w:tc>
          <w:tcPr>
            <w:tcW w:w="3960" w:type="dxa"/>
            <w:gridSpan w:val="3"/>
          </w:tcPr>
          <w:p w:rsidR="00FA1457" w:rsidRPr="005D3BF0" w:rsidRDefault="00FA1457" w:rsidP="00585259">
            <w:pPr>
              <w:spacing w:line="480" w:lineRule="auto"/>
              <w:rPr>
                <w:rFonts w:ascii="Times New Roman" w:hAnsi="Times New Roman" w:cs="Times New Roman"/>
                <w:b/>
                <w:sz w:val="24"/>
                <w:szCs w:val="24"/>
              </w:rPr>
            </w:pPr>
            <w:r w:rsidRPr="005D3BF0">
              <w:rPr>
                <w:rFonts w:ascii="Times New Roman" w:hAnsi="Times New Roman" w:cs="Times New Roman"/>
                <w:b/>
                <w:sz w:val="24"/>
                <w:szCs w:val="24"/>
              </w:rPr>
              <w:t>CWN</w:t>
            </w:r>
          </w:p>
        </w:tc>
        <w:tc>
          <w:tcPr>
            <w:tcW w:w="1440" w:type="dxa"/>
          </w:tcPr>
          <w:p w:rsidR="00FA1457" w:rsidRPr="00D5304E" w:rsidRDefault="00FA1457" w:rsidP="00585259">
            <w:pPr>
              <w:spacing w:line="480" w:lineRule="auto"/>
              <w:rPr>
                <w:rFonts w:ascii="Times New Roman" w:hAnsi="Times New Roman" w:cs="Times New Roman"/>
                <w:sz w:val="24"/>
                <w:szCs w:val="24"/>
              </w:rPr>
            </w:pP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Year</w:t>
            </w:r>
          </w:p>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Amounts in ($‘000)</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2013</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2014</w:t>
            </w:r>
          </w:p>
          <w:p w:rsidR="00FA1457" w:rsidRPr="00D5304E" w:rsidRDefault="00FA1457" w:rsidP="00585259">
            <w:pPr>
              <w:spacing w:line="480" w:lineRule="auto"/>
              <w:rPr>
                <w:rFonts w:ascii="Times New Roman" w:hAnsi="Times New Roman" w:cs="Times New Roman"/>
                <w:sz w:val="24"/>
                <w:szCs w:val="24"/>
              </w:rPr>
            </w:pP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2015</w:t>
            </w:r>
          </w:p>
        </w:tc>
        <w:tc>
          <w:tcPr>
            <w:tcW w:w="144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2016</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Total revenues</w:t>
            </w:r>
          </w:p>
        </w:tc>
        <w:tc>
          <w:tcPr>
            <w:tcW w:w="1620" w:type="dxa"/>
          </w:tcPr>
          <w:p w:rsidR="00FA1457" w:rsidRPr="00D5304E" w:rsidRDefault="00283482"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2881.95</w:t>
            </w:r>
          </w:p>
        </w:tc>
        <w:tc>
          <w:tcPr>
            <w:tcW w:w="117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3077.56</w:t>
            </w:r>
          </w:p>
        </w:tc>
        <w:tc>
          <w:tcPr>
            <w:tcW w:w="117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3465.00</w:t>
            </w:r>
          </w:p>
        </w:tc>
        <w:tc>
          <w:tcPr>
            <w:tcW w:w="144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4203.41</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Net profit </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490.96</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640.02</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439.65</w:t>
            </w:r>
          </w:p>
        </w:tc>
        <w:tc>
          <w:tcPr>
            <w:tcW w:w="144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388.34</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EPS</w:t>
            </w:r>
          </w:p>
        </w:tc>
        <w:tc>
          <w:tcPr>
            <w:tcW w:w="162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54.34</w:t>
            </w:r>
          </w:p>
        </w:tc>
        <w:tc>
          <w:tcPr>
            <w:tcW w:w="117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90.03</w:t>
            </w:r>
          </w:p>
        </w:tc>
        <w:tc>
          <w:tcPr>
            <w:tcW w:w="117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52.86</w:t>
            </w:r>
          </w:p>
        </w:tc>
        <w:tc>
          <w:tcPr>
            <w:tcW w:w="1440" w:type="dxa"/>
          </w:tcPr>
          <w:p w:rsidR="00FA1457" w:rsidRPr="00D5304E" w:rsidRDefault="00811010"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130.26</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Net profit margin (%)</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17.06</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20.80</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13.00</w:t>
            </w:r>
          </w:p>
        </w:tc>
        <w:tc>
          <w:tcPr>
            <w:tcW w:w="1440" w:type="dxa"/>
          </w:tcPr>
          <w:p w:rsidR="00FA1457" w:rsidRPr="00D5304E" w:rsidRDefault="00A67CB9"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11.07</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EBIT</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657.49</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855.08</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637.27</w:t>
            </w:r>
          </w:p>
        </w:tc>
        <w:tc>
          <w:tcPr>
            <w:tcW w:w="1440" w:type="dxa"/>
          </w:tcPr>
          <w:p w:rsidR="00FA1457" w:rsidRPr="00D5304E" w:rsidRDefault="00563166"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660.64</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Interest expense</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133.45</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116.25</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132.09</w:t>
            </w:r>
          </w:p>
        </w:tc>
        <w:tc>
          <w:tcPr>
            <w:tcW w:w="1440" w:type="dxa"/>
          </w:tcPr>
          <w:p w:rsidR="00FA1457" w:rsidRPr="00D5304E" w:rsidRDefault="00563166"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215.67</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Equity</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3652.60</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3981.66</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4609</w:t>
            </w:r>
          </w:p>
        </w:tc>
        <w:tc>
          <w:tcPr>
            <w:tcW w:w="1440" w:type="dxa"/>
          </w:tcPr>
          <w:p w:rsidR="00FA1457" w:rsidRPr="00D5304E" w:rsidRDefault="00A67CB9"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5152.18</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Debt</w:t>
            </w:r>
          </w:p>
        </w:tc>
        <w:tc>
          <w:tcPr>
            <w:tcW w:w="1620" w:type="dxa"/>
          </w:tcPr>
          <w:p w:rsidR="00FA1457" w:rsidRPr="00D5304E" w:rsidRDefault="00651789"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1635.26</w:t>
            </w:r>
          </w:p>
        </w:tc>
        <w:tc>
          <w:tcPr>
            <w:tcW w:w="1170" w:type="dxa"/>
          </w:tcPr>
          <w:p w:rsidR="00FA1457" w:rsidRPr="00D5304E" w:rsidRDefault="00651789"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1742.80</w:t>
            </w:r>
          </w:p>
        </w:tc>
        <w:tc>
          <w:tcPr>
            <w:tcW w:w="1170" w:type="dxa"/>
          </w:tcPr>
          <w:p w:rsidR="00FA1457" w:rsidRPr="00D5304E" w:rsidRDefault="00292481"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2662.02</w:t>
            </w:r>
          </w:p>
        </w:tc>
        <w:tc>
          <w:tcPr>
            <w:tcW w:w="1440" w:type="dxa"/>
          </w:tcPr>
          <w:p w:rsidR="00FA1457" w:rsidRPr="00D5304E" w:rsidRDefault="00292481"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2261.33</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D/E ratio</w:t>
            </w:r>
          </w:p>
        </w:tc>
        <w:tc>
          <w:tcPr>
            <w:tcW w:w="1620" w:type="dxa"/>
          </w:tcPr>
          <w:p w:rsidR="00FA1457" w:rsidRPr="00D5304E" w:rsidRDefault="00A67CB9"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44.77</w:t>
            </w:r>
          </w:p>
        </w:tc>
        <w:tc>
          <w:tcPr>
            <w:tcW w:w="1170" w:type="dxa"/>
          </w:tcPr>
          <w:p w:rsidR="00FA1457" w:rsidRPr="00D5304E" w:rsidRDefault="00A67CB9"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43.77</w:t>
            </w:r>
          </w:p>
        </w:tc>
        <w:tc>
          <w:tcPr>
            <w:tcW w:w="1170" w:type="dxa"/>
          </w:tcPr>
          <w:p w:rsidR="00FA1457" w:rsidRPr="00D5304E" w:rsidRDefault="00A67CB9"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57.76</w:t>
            </w:r>
          </w:p>
        </w:tc>
        <w:tc>
          <w:tcPr>
            <w:tcW w:w="1440" w:type="dxa"/>
          </w:tcPr>
          <w:p w:rsidR="00FA1457" w:rsidRPr="00D5304E" w:rsidRDefault="00CB3DFF"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43.89</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ROC</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16.79</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18.98</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11.39</w:t>
            </w:r>
          </w:p>
        </w:tc>
        <w:tc>
          <w:tcPr>
            <w:tcW w:w="1440" w:type="dxa"/>
          </w:tcPr>
          <w:p w:rsidR="00FA1457" w:rsidRPr="00D5304E" w:rsidRDefault="00CB3DFF"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11.26</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ROE</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13.44</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16.07</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9.87</w:t>
            </w:r>
          </w:p>
        </w:tc>
        <w:tc>
          <w:tcPr>
            <w:tcW w:w="1440" w:type="dxa"/>
          </w:tcPr>
          <w:p w:rsidR="00FA1457" w:rsidRPr="00D5304E" w:rsidRDefault="00CB3DFF"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7.77</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Beta</w:t>
            </w:r>
          </w:p>
        </w:tc>
        <w:tc>
          <w:tcPr>
            <w:tcW w:w="1620" w:type="dxa"/>
          </w:tcPr>
          <w:p w:rsidR="00FA1457" w:rsidRPr="00D5304E" w:rsidRDefault="002157DE" w:rsidP="00585259">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Pr>
          <w:p w:rsidR="00FA1457" w:rsidRPr="00D5304E" w:rsidRDefault="002157DE" w:rsidP="00585259">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Pr>
          <w:p w:rsidR="00FA1457" w:rsidRPr="00D5304E" w:rsidRDefault="002157DE" w:rsidP="00585259">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440" w:type="dxa"/>
          </w:tcPr>
          <w:p w:rsidR="00FA1457" w:rsidRPr="00D5304E" w:rsidRDefault="002157DE" w:rsidP="00585259">
            <w:pPr>
              <w:spacing w:line="480" w:lineRule="auto"/>
              <w:rPr>
                <w:rFonts w:ascii="Times New Roman" w:hAnsi="Times New Roman" w:cs="Times New Roman"/>
                <w:sz w:val="24"/>
                <w:szCs w:val="24"/>
              </w:rPr>
            </w:pPr>
            <w:r>
              <w:rPr>
                <w:rFonts w:ascii="Times New Roman" w:hAnsi="Times New Roman" w:cs="Times New Roman"/>
                <w:sz w:val="24"/>
                <w:szCs w:val="24"/>
              </w:rPr>
              <w:t>-</w:t>
            </w:r>
          </w:p>
        </w:tc>
      </w:tr>
      <w:tr w:rsidR="00FA1457" w:rsidRPr="00D5304E" w:rsidTr="00585259">
        <w:tc>
          <w:tcPr>
            <w:tcW w:w="2448"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Average share price</w:t>
            </w:r>
          </w:p>
        </w:tc>
        <w:tc>
          <w:tcPr>
            <w:tcW w:w="162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12.11</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15.12</w:t>
            </w:r>
          </w:p>
        </w:tc>
        <w:tc>
          <w:tcPr>
            <w:tcW w:w="1170" w:type="dxa"/>
          </w:tcPr>
          <w:p w:rsidR="00FA1457" w:rsidRPr="00D5304E" w:rsidRDefault="00FA1457"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12.20</w:t>
            </w:r>
          </w:p>
        </w:tc>
        <w:tc>
          <w:tcPr>
            <w:tcW w:w="1440" w:type="dxa"/>
          </w:tcPr>
          <w:p w:rsidR="00FA1457" w:rsidRPr="00D5304E" w:rsidRDefault="00CB3DFF" w:rsidP="00585259">
            <w:pPr>
              <w:spacing w:line="480" w:lineRule="auto"/>
              <w:rPr>
                <w:rFonts w:ascii="Times New Roman" w:hAnsi="Times New Roman" w:cs="Times New Roman"/>
                <w:sz w:val="24"/>
                <w:szCs w:val="24"/>
              </w:rPr>
            </w:pPr>
            <w:r w:rsidRPr="00D5304E">
              <w:rPr>
                <w:rFonts w:ascii="Times New Roman" w:hAnsi="Times New Roman" w:cs="Times New Roman"/>
                <w:sz w:val="24"/>
                <w:szCs w:val="24"/>
              </w:rPr>
              <w:t>12.61</w:t>
            </w:r>
          </w:p>
        </w:tc>
      </w:tr>
    </w:tbl>
    <w:p w:rsidR="00BE0603" w:rsidRDefault="00585259" w:rsidP="00D5304E">
      <w:pPr>
        <w:spacing w:line="48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2157DE" w:rsidRPr="00D5304E" w:rsidRDefault="00FA0D11" w:rsidP="00D5304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2: FLT Analysis</w:t>
      </w:r>
    </w:p>
    <w:tbl>
      <w:tblPr>
        <w:tblStyle w:val="TableGrid"/>
        <w:tblW w:w="9575" w:type="dxa"/>
        <w:tblLook w:val="04A0"/>
      </w:tblPr>
      <w:tblGrid>
        <w:gridCol w:w="2358"/>
        <w:gridCol w:w="1472"/>
        <w:gridCol w:w="1915"/>
        <w:gridCol w:w="1915"/>
        <w:gridCol w:w="1915"/>
      </w:tblGrid>
      <w:tr w:rsidR="006B6B15" w:rsidRPr="00D5304E" w:rsidTr="002157DE">
        <w:tc>
          <w:tcPr>
            <w:tcW w:w="2358" w:type="dxa"/>
          </w:tcPr>
          <w:p w:rsidR="006B6B15" w:rsidRPr="005D3BF0" w:rsidRDefault="006B6B15" w:rsidP="00D5304E">
            <w:pPr>
              <w:spacing w:line="480" w:lineRule="auto"/>
              <w:rPr>
                <w:rFonts w:ascii="Times New Roman" w:hAnsi="Times New Roman" w:cs="Times New Roman"/>
                <w:b/>
                <w:sz w:val="24"/>
                <w:szCs w:val="24"/>
              </w:rPr>
            </w:pPr>
            <w:r w:rsidRPr="005D3BF0">
              <w:rPr>
                <w:rFonts w:ascii="Times New Roman" w:hAnsi="Times New Roman" w:cs="Times New Roman"/>
                <w:b/>
                <w:sz w:val="24"/>
                <w:szCs w:val="24"/>
              </w:rPr>
              <w:t>Company Name</w:t>
            </w:r>
          </w:p>
        </w:tc>
        <w:tc>
          <w:tcPr>
            <w:tcW w:w="7217" w:type="dxa"/>
            <w:gridSpan w:val="4"/>
          </w:tcPr>
          <w:p w:rsidR="006B6B15" w:rsidRPr="005D3BF0" w:rsidRDefault="006B6B15" w:rsidP="00D5304E">
            <w:pPr>
              <w:spacing w:line="480" w:lineRule="auto"/>
              <w:rPr>
                <w:rFonts w:ascii="Times New Roman" w:hAnsi="Times New Roman" w:cs="Times New Roman"/>
                <w:b/>
                <w:sz w:val="24"/>
                <w:szCs w:val="24"/>
              </w:rPr>
            </w:pPr>
            <w:r w:rsidRPr="005D3BF0">
              <w:rPr>
                <w:rFonts w:ascii="Times New Roman" w:hAnsi="Times New Roman" w:cs="Times New Roman"/>
                <w:b/>
                <w:sz w:val="24"/>
                <w:szCs w:val="24"/>
              </w:rPr>
              <w:t>FLT</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Year</w:t>
            </w:r>
          </w:p>
          <w:p w:rsidR="00FB73CD"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Amounts in ($‘000)</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2013</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2014</w:t>
            </w:r>
          </w:p>
          <w:p w:rsidR="00AA110E" w:rsidRPr="00D5304E" w:rsidRDefault="00AA110E" w:rsidP="00D5304E">
            <w:pPr>
              <w:spacing w:line="480" w:lineRule="auto"/>
              <w:rPr>
                <w:rFonts w:ascii="Times New Roman" w:hAnsi="Times New Roman" w:cs="Times New Roman"/>
                <w:sz w:val="24"/>
                <w:szCs w:val="24"/>
              </w:rPr>
            </w:pP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2015</w:t>
            </w:r>
          </w:p>
        </w:tc>
        <w:tc>
          <w:tcPr>
            <w:tcW w:w="1915" w:type="dxa"/>
          </w:tcPr>
          <w:p w:rsidR="00AA110E" w:rsidRPr="00D5304E" w:rsidRDefault="006B6B15"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2016</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Total revenues</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1969.56</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2217.53</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23</w:t>
            </w:r>
            <w:r w:rsidR="007B4EE1" w:rsidRPr="00D5304E">
              <w:rPr>
                <w:rFonts w:ascii="Times New Roman" w:hAnsi="Times New Roman" w:cs="Times New Roman"/>
                <w:sz w:val="24"/>
                <w:szCs w:val="24"/>
              </w:rPr>
              <w:t>73.72</w:t>
            </w:r>
          </w:p>
        </w:tc>
        <w:tc>
          <w:tcPr>
            <w:tcW w:w="1915" w:type="dxa"/>
          </w:tcPr>
          <w:p w:rsidR="00AA110E" w:rsidRPr="00D5304E" w:rsidRDefault="007B4EE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2653.03</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Net profit </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246.08</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259.62</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256.55</w:t>
            </w:r>
          </w:p>
        </w:tc>
        <w:tc>
          <w:tcPr>
            <w:tcW w:w="1915" w:type="dxa"/>
          </w:tcPr>
          <w:p w:rsidR="00AA110E" w:rsidRPr="00D5304E" w:rsidRDefault="001B2DF5"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269.22</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EPS</w:t>
            </w:r>
          </w:p>
        </w:tc>
        <w:tc>
          <w:tcPr>
            <w:tcW w:w="1472" w:type="dxa"/>
          </w:tcPr>
          <w:p w:rsidR="00AA110E" w:rsidRPr="00D5304E" w:rsidRDefault="007B4EE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224.20</w:t>
            </w:r>
          </w:p>
        </w:tc>
        <w:tc>
          <w:tcPr>
            <w:tcW w:w="1915" w:type="dxa"/>
          </w:tcPr>
          <w:p w:rsidR="00AA110E" w:rsidRPr="00D5304E" w:rsidRDefault="007B4EE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205.50</w:t>
            </w:r>
          </w:p>
        </w:tc>
        <w:tc>
          <w:tcPr>
            <w:tcW w:w="1915" w:type="dxa"/>
          </w:tcPr>
          <w:p w:rsidR="00AA110E" w:rsidRPr="00D5304E" w:rsidRDefault="007B4EE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254.30</w:t>
            </w:r>
          </w:p>
        </w:tc>
        <w:tc>
          <w:tcPr>
            <w:tcW w:w="1915" w:type="dxa"/>
          </w:tcPr>
          <w:p w:rsidR="00AA110E" w:rsidRPr="00D5304E" w:rsidRDefault="007B4EE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266.90</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Net profit margin</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12.65</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11.76</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10.86</w:t>
            </w:r>
          </w:p>
        </w:tc>
        <w:tc>
          <w:tcPr>
            <w:tcW w:w="1915" w:type="dxa"/>
          </w:tcPr>
          <w:p w:rsidR="00AA110E" w:rsidRPr="00D5304E" w:rsidRDefault="00605E6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10.25</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EBIT</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345.43</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377.30</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362.86</w:t>
            </w:r>
          </w:p>
        </w:tc>
        <w:tc>
          <w:tcPr>
            <w:tcW w:w="1915" w:type="dxa"/>
          </w:tcPr>
          <w:p w:rsidR="00AA110E" w:rsidRPr="00D5304E" w:rsidRDefault="007B4EE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372.48</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Interest expense</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31.52</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32.99</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26.12</w:t>
            </w:r>
          </w:p>
        </w:tc>
        <w:tc>
          <w:tcPr>
            <w:tcW w:w="1915" w:type="dxa"/>
          </w:tcPr>
          <w:p w:rsidR="00AA110E" w:rsidRPr="00D5304E" w:rsidRDefault="001B2DF5"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28.60</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Equity</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1026.19</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1097.80</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1270.12</w:t>
            </w:r>
          </w:p>
        </w:tc>
        <w:tc>
          <w:tcPr>
            <w:tcW w:w="1915" w:type="dxa"/>
          </w:tcPr>
          <w:p w:rsidR="00AA110E" w:rsidRPr="00D5304E" w:rsidRDefault="00605E6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1345.94</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Debt</w:t>
            </w:r>
          </w:p>
        </w:tc>
        <w:tc>
          <w:tcPr>
            <w:tcW w:w="1472" w:type="dxa"/>
          </w:tcPr>
          <w:p w:rsidR="00AA110E" w:rsidRPr="00D5304E" w:rsidRDefault="000F0BE9"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46.19</w:t>
            </w:r>
          </w:p>
        </w:tc>
        <w:tc>
          <w:tcPr>
            <w:tcW w:w="1915" w:type="dxa"/>
          </w:tcPr>
          <w:p w:rsidR="00AA110E" w:rsidRPr="00D5304E" w:rsidRDefault="00A9597D"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44.88</w:t>
            </w:r>
          </w:p>
        </w:tc>
        <w:tc>
          <w:tcPr>
            <w:tcW w:w="1915" w:type="dxa"/>
          </w:tcPr>
          <w:p w:rsidR="00AA110E" w:rsidRPr="00D5304E" w:rsidRDefault="00A9597D"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32.81</w:t>
            </w:r>
          </w:p>
        </w:tc>
        <w:tc>
          <w:tcPr>
            <w:tcW w:w="1915" w:type="dxa"/>
          </w:tcPr>
          <w:p w:rsidR="00AA110E" w:rsidRPr="00D5304E" w:rsidRDefault="00A9597D"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76.84</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D/E ratio</w:t>
            </w:r>
          </w:p>
        </w:tc>
        <w:tc>
          <w:tcPr>
            <w:tcW w:w="1472" w:type="dxa"/>
          </w:tcPr>
          <w:p w:rsidR="00AA110E" w:rsidRPr="00D5304E" w:rsidRDefault="00605E6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4.50</w:t>
            </w:r>
          </w:p>
        </w:tc>
        <w:tc>
          <w:tcPr>
            <w:tcW w:w="1915" w:type="dxa"/>
          </w:tcPr>
          <w:p w:rsidR="00AA110E" w:rsidRPr="00D5304E" w:rsidRDefault="00605E6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4.09</w:t>
            </w:r>
          </w:p>
        </w:tc>
        <w:tc>
          <w:tcPr>
            <w:tcW w:w="1915" w:type="dxa"/>
          </w:tcPr>
          <w:p w:rsidR="00AA110E" w:rsidRPr="00D5304E" w:rsidRDefault="000F0BE9"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2.58</w:t>
            </w:r>
          </w:p>
        </w:tc>
        <w:tc>
          <w:tcPr>
            <w:tcW w:w="1915" w:type="dxa"/>
          </w:tcPr>
          <w:p w:rsidR="00AA110E" w:rsidRPr="00D5304E" w:rsidRDefault="000F0BE9"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5.71</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ROE</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23.98</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23.65</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20.20</w:t>
            </w:r>
          </w:p>
        </w:tc>
        <w:tc>
          <w:tcPr>
            <w:tcW w:w="1915" w:type="dxa"/>
          </w:tcPr>
          <w:p w:rsidR="00AA110E" w:rsidRPr="00D5304E" w:rsidRDefault="00A9597D"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20.00</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Beta</w:t>
            </w:r>
          </w:p>
        </w:tc>
        <w:tc>
          <w:tcPr>
            <w:tcW w:w="1472" w:type="dxa"/>
          </w:tcPr>
          <w:p w:rsidR="00AA110E" w:rsidRPr="00D5304E" w:rsidRDefault="00FB73CD"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915" w:type="dxa"/>
          </w:tcPr>
          <w:p w:rsidR="00AA110E" w:rsidRPr="00D5304E" w:rsidRDefault="00FB73CD"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915" w:type="dxa"/>
          </w:tcPr>
          <w:p w:rsidR="00AA110E" w:rsidRPr="00D5304E" w:rsidRDefault="00FB73CD"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915" w:type="dxa"/>
          </w:tcPr>
          <w:p w:rsidR="00AA110E" w:rsidRPr="00D5304E" w:rsidRDefault="00FB73CD"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r>
      <w:tr w:rsidR="00AA110E" w:rsidRPr="00D5304E" w:rsidTr="002157DE">
        <w:tc>
          <w:tcPr>
            <w:tcW w:w="2358"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Average share price</w:t>
            </w:r>
          </w:p>
        </w:tc>
        <w:tc>
          <w:tcPr>
            <w:tcW w:w="1472"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39.33</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44.45</w:t>
            </w:r>
          </w:p>
        </w:tc>
        <w:tc>
          <w:tcPr>
            <w:tcW w:w="1915" w:type="dxa"/>
          </w:tcPr>
          <w:p w:rsidR="00AA110E" w:rsidRPr="00D5304E" w:rsidRDefault="00AA110E"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34.11</w:t>
            </w:r>
          </w:p>
        </w:tc>
        <w:tc>
          <w:tcPr>
            <w:tcW w:w="1915" w:type="dxa"/>
          </w:tcPr>
          <w:p w:rsidR="00AA110E" w:rsidRPr="00D5304E" w:rsidRDefault="00627EC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31.58</w:t>
            </w:r>
          </w:p>
        </w:tc>
      </w:tr>
    </w:tbl>
    <w:p w:rsidR="00654894" w:rsidRDefault="00654894" w:rsidP="00D5304E">
      <w:pPr>
        <w:spacing w:line="480" w:lineRule="auto"/>
        <w:rPr>
          <w:rFonts w:ascii="Times New Roman" w:hAnsi="Times New Roman" w:cs="Times New Roman"/>
          <w:sz w:val="24"/>
          <w:szCs w:val="24"/>
        </w:rPr>
      </w:pPr>
    </w:p>
    <w:p w:rsidR="00FA0D11" w:rsidRPr="00D5304E" w:rsidRDefault="00FA0D11" w:rsidP="00D5304E">
      <w:pPr>
        <w:spacing w:line="480" w:lineRule="auto"/>
        <w:rPr>
          <w:rFonts w:ascii="Times New Roman" w:hAnsi="Times New Roman" w:cs="Times New Roman"/>
          <w:sz w:val="24"/>
          <w:szCs w:val="24"/>
        </w:rPr>
      </w:pPr>
      <w:r>
        <w:rPr>
          <w:rFonts w:ascii="Times New Roman" w:hAnsi="Times New Roman" w:cs="Times New Roman"/>
          <w:sz w:val="24"/>
          <w:szCs w:val="24"/>
        </w:rPr>
        <w:t>Table 3: SGR Analysis</w:t>
      </w:r>
    </w:p>
    <w:tbl>
      <w:tblPr>
        <w:tblStyle w:val="TableGrid"/>
        <w:tblW w:w="0" w:type="auto"/>
        <w:tblLook w:val="04A0"/>
      </w:tblPr>
      <w:tblGrid>
        <w:gridCol w:w="2718"/>
        <w:gridCol w:w="1111"/>
        <w:gridCol w:w="1915"/>
        <w:gridCol w:w="1916"/>
        <w:gridCol w:w="1916"/>
      </w:tblGrid>
      <w:tr w:rsidR="00344B50" w:rsidRPr="00D5304E" w:rsidTr="00FB73CD">
        <w:tc>
          <w:tcPr>
            <w:tcW w:w="2718" w:type="dxa"/>
          </w:tcPr>
          <w:p w:rsidR="00344B50" w:rsidRPr="005D3BF0" w:rsidRDefault="00344B50" w:rsidP="00D5304E">
            <w:pPr>
              <w:spacing w:line="480" w:lineRule="auto"/>
              <w:rPr>
                <w:rFonts w:ascii="Times New Roman" w:hAnsi="Times New Roman" w:cs="Times New Roman"/>
                <w:b/>
                <w:sz w:val="24"/>
                <w:szCs w:val="24"/>
              </w:rPr>
            </w:pPr>
            <w:r w:rsidRPr="005D3BF0">
              <w:rPr>
                <w:rFonts w:ascii="Times New Roman" w:hAnsi="Times New Roman" w:cs="Times New Roman"/>
                <w:b/>
                <w:sz w:val="24"/>
                <w:szCs w:val="24"/>
              </w:rPr>
              <w:t>Company Name</w:t>
            </w:r>
          </w:p>
        </w:tc>
        <w:tc>
          <w:tcPr>
            <w:tcW w:w="4942" w:type="dxa"/>
            <w:gridSpan w:val="3"/>
          </w:tcPr>
          <w:p w:rsidR="00344B50" w:rsidRPr="005D3BF0" w:rsidRDefault="00344B50" w:rsidP="00D5304E">
            <w:pPr>
              <w:spacing w:line="480" w:lineRule="auto"/>
              <w:rPr>
                <w:rFonts w:ascii="Times New Roman" w:hAnsi="Times New Roman" w:cs="Times New Roman"/>
                <w:b/>
                <w:sz w:val="24"/>
                <w:szCs w:val="24"/>
              </w:rPr>
            </w:pPr>
            <w:r w:rsidRPr="005D3BF0">
              <w:rPr>
                <w:rFonts w:ascii="Times New Roman" w:hAnsi="Times New Roman" w:cs="Times New Roman"/>
                <w:b/>
                <w:sz w:val="24"/>
                <w:szCs w:val="24"/>
              </w:rPr>
              <w:t>SGR</w:t>
            </w:r>
          </w:p>
        </w:tc>
        <w:tc>
          <w:tcPr>
            <w:tcW w:w="1916" w:type="dxa"/>
          </w:tcPr>
          <w:p w:rsidR="00344B50" w:rsidRPr="00D5304E" w:rsidRDefault="00344B50" w:rsidP="00D5304E">
            <w:pPr>
              <w:spacing w:line="480" w:lineRule="auto"/>
              <w:rPr>
                <w:rFonts w:ascii="Times New Roman" w:hAnsi="Times New Roman" w:cs="Times New Roman"/>
                <w:sz w:val="24"/>
                <w:szCs w:val="24"/>
              </w:rPr>
            </w:pP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p>
        </w:tc>
        <w:tc>
          <w:tcPr>
            <w:tcW w:w="1111"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2013</w:t>
            </w:r>
          </w:p>
        </w:tc>
        <w:tc>
          <w:tcPr>
            <w:tcW w:w="1915"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2014</w:t>
            </w:r>
          </w:p>
        </w:tc>
        <w:tc>
          <w:tcPr>
            <w:tcW w:w="1916"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2015</w:t>
            </w:r>
          </w:p>
        </w:tc>
        <w:tc>
          <w:tcPr>
            <w:tcW w:w="1916"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2016</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Year</w:t>
            </w:r>
          </w:p>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lastRenderedPageBreak/>
              <w:t>Amounts in ($‘000)</w:t>
            </w:r>
          </w:p>
        </w:tc>
        <w:tc>
          <w:tcPr>
            <w:tcW w:w="1111" w:type="dxa"/>
          </w:tcPr>
          <w:p w:rsidR="009704B8" w:rsidRPr="00D5304E" w:rsidRDefault="009704B8" w:rsidP="00D5304E">
            <w:pPr>
              <w:spacing w:line="480" w:lineRule="auto"/>
              <w:rPr>
                <w:rFonts w:ascii="Times New Roman" w:hAnsi="Times New Roman" w:cs="Times New Roman"/>
                <w:sz w:val="24"/>
                <w:szCs w:val="24"/>
              </w:rPr>
            </w:pPr>
          </w:p>
        </w:tc>
        <w:tc>
          <w:tcPr>
            <w:tcW w:w="1915" w:type="dxa"/>
          </w:tcPr>
          <w:p w:rsidR="009704B8" w:rsidRPr="00D5304E" w:rsidRDefault="009704B8" w:rsidP="00D5304E">
            <w:pPr>
              <w:spacing w:line="480" w:lineRule="auto"/>
              <w:rPr>
                <w:rFonts w:ascii="Times New Roman" w:hAnsi="Times New Roman" w:cs="Times New Roman"/>
                <w:sz w:val="24"/>
                <w:szCs w:val="24"/>
              </w:rPr>
            </w:pPr>
          </w:p>
        </w:tc>
        <w:tc>
          <w:tcPr>
            <w:tcW w:w="1916" w:type="dxa"/>
          </w:tcPr>
          <w:p w:rsidR="009704B8" w:rsidRPr="00D5304E" w:rsidRDefault="009704B8" w:rsidP="00D5304E">
            <w:pPr>
              <w:spacing w:line="480" w:lineRule="auto"/>
              <w:rPr>
                <w:rFonts w:ascii="Times New Roman" w:hAnsi="Times New Roman" w:cs="Times New Roman"/>
                <w:sz w:val="24"/>
                <w:szCs w:val="24"/>
              </w:rPr>
            </w:pPr>
          </w:p>
        </w:tc>
        <w:tc>
          <w:tcPr>
            <w:tcW w:w="1916" w:type="dxa"/>
          </w:tcPr>
          <w:p w:rsidR="009704B8" w:rsidRPr="00D5304E" w:rsidRDefault="009704B8" w:rsidP="00D5304E">
            <w:pPr>
              <w:spacing w:line="480" w:lineRule="auto"/>
              <w:rPr>
                <w:rFonts w:ascii="Times New Roman" w:hAnsi="Times New Roman" w:cs="Times New Roman"/>
                <w:sz w:val="24"/>
                <w:szCs w:val="24"/>
              </w:rPr>
            </w:pP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lastRenderedPageBreak/>
              <w:t>Total revenues</w:t>
            </w:r>
          </w:p>
        </w:tc>
        <w:tc>
          <w:tcPr>
            <w:tcW w:w="1111"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1741.00</w:t>
            </w:r>
          </w:p>
        </w:tc>
        <w:tc>
          <w:tcPr>
            <w:tcW w:w="1915"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1805.70</w:t>
            </w:r>
          </w:p>
        </w:tc>
        <w:tc>
          <w:tcPr>
            <w:tcW w:w="1916"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2150.40</w:t>
            </w:r>
          </w:p>
        </w:tc>
        <w:tc>
          <w:tcPr>
            <w:tcW w:w="1916"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2268.90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Net profit </w:t>
            </w:r>
          </w:p>
        </w:tc>
        <w:tc>
          <w:tcPr>
            <w:tcW w:w="1111"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112.70</w:t>
            </w:r>
          </w:p>
        </w:tc>
        <w:tc>
          <w:tcPr>
            <w:tcW w:w="1915"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128.50</w:t>
            </w:r>
          </w:p>
        </w:tc>
        <w:tc>
          <w:tcPr>
            <w:tcW w:w="1916"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173.00</w:t>
            </w:r>
          </w:p>
        </w:tc>
        <w:tc>
          <w:tcPr>
            <w:tcW w:w="1916"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194.40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EPS</w:t>
            </w:r>
          </w:p>
        </w:tc>
        <w:tc>
          <w:tcPr>
            <w:tcW w:w="1111" w:type="dxa"/>
          </w:tcPr>
          <w:p w:rsidR="009704B8" w:rsidRPr="00D5304E" w:rsidRDefault="00440C33"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10.10</w:t>
            </w:r>
          </w:p>
        </w:tc>
        <w:tc>
          <w:tcPr>
            <w:tcW w:w="1915" w:type="dxa"/>
          </w:tcPr>
          <w:p w:rsidR="009704B8" w:rsidRPr="00D5304E" w:rsidRDefault="00440C33"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12.90</w:t>
            </w:r>
          </w:p>
        </w:tc>
        <w:tc>
          <w:tcPr>
            <w:tcW w:w="1916" w:type="dxa"/>
          </w:tcPr>
          <w:p w:rsidR="009704B8" w:rsidRPr="00D5304E" w:rsidRDefault="00440C33"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20.50</w:t>
            </w:r>
          </w:p>
        </w:tc>
        <w:tc>
          <w:tcPr>
            <w:tcW w:w="1916" w:type="dxa"/>
          </w:tcPr>
          <w:p w:rsidR="009704B8" w:rsidRPr="00D5304E" w:rsidRDefault="00440C33"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23.60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Net profit margin</w:t>
            </w:r>
          </w:p>
        </w:tc>
        <w:tc>
          <w:tcPr>
            <w:tcW w:w="1111" w:type="dxa"/>
          </w:tcPr>
          <w:p w:rsidR="009704B8" w:rsidRPr="00D5304E" w:rsidRDefault="0095634A"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6.48</w:t>
            </w:r>
          </w:p>
        </w:tc>
        <w:tc>
          <w:tcPr>
            <w:tcW w:w="1915" w:type="dxa"/>
          </w:tcPr>
          <w:p w:rsidR="009704B8" w:rsidRPr="00D5304E" w:rsidRDefault="0095634A"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7.12</w:t>
            </w:r>
          </w:p>
        </w:tc>
        <w:tc>
          <w:tcPr>
            <w:tcW w:w="1916" w:type="dxa"/>
          </w:tcPr>
          <w:p w:rsidR="009704B8" w:rsidRPr="00D5304E" w:rsidRDefault="0095634A"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8.08</w:t>
            </w:r>
          </w:p>
        </w:tc>
        <w:tc>
          <w:tcPr>
            <w:tcW w:w="1916" w:type="dxa"/>
          </w:tcPr>
          <w:p w:rsidR="009704B8" w:rsidRPr="00D5304E" w:rsidRDefault="0095634A"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8.57</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EBIT</w:t>
            </w:r>
          </w:p>
        </w:tc>
        <w:tc>
          <w:tcPr>
            <w:tcW w:w="1111"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226.90</w:t>
            </w:r>
          </w:p>
        </w:tc>
        <w:tc>
          <w:tcPr>
            <w:tcW w:w="1915"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263.70</w:t>
            </w:r>
          </w:p>
        </w:tc>
        <w:tc>
          <w:tcPr>
            <w:tcW w:w="1916"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290.80</w:t>
            </w:r>
          </w:p>
        </w:tc>
        <w:tc>
          <w:tcPr>
            <w:tcW w:w="1916" w:type="dxa"/>
          </w:tcPr>
          <w:p w:rsidR="009704B8" w:rsidRPr="00D5304E" w:rsidRDefault="009553C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325.00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Interest expense</w:t>
            </w:r>
          </w:p>
        </w:tc>
        <w:tc>
          <w:tcPr>
            <w:tcW w:w="1111" w:type="dxa"/>
          </w:tcPr>
          <w:p w:rsidR="009704B8" w:rsidRPr="00D5304E" w:rsidRDefault="0025412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83.30</w:t>
            </w:r>
          </w:p>
        </w:tc>
        <w:tc>
          <w:tcPr>
            <w:tcW w:w="1915" w:type="dxa"/>
          </w:tcPr>
          <w:p w:rsidR="009704B8" w:rsidRPr="00D5304E" w:rsidRDefault="0025412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91.40</w:t>
            </w:r>
          </w:p>
        </w:tc>
        <w:tc>
          <w:tcPr>
            <w:tcW w:w="1916" w:type="dxa"/>
          </w:tcPr>
          <w:p w:rsidR="009704B8" w:rsidRPr="00D5304E" w:rsidRDefault="0025412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52.10</w:t>
            </w:r>
          </w:p>
        </w:tc>
        <w:tc>
          <w:tcPr>
            <w:tcW w:w="1916" w:type="dxa"/>
          </w:tcPr>
          <w:p w:rsidR="009704B8" w:rsidRPr="00D5304E" w:rsidRDefault="00A8109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47.10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Equity</w:t>
            </w:r>
          </w:p>
        </w:tc>
        <w:tc>
          <w:tcPr>
            <w:tcW w:w="1111"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2862.60</w:t>
            </w:r>
          </w:p>
        </w:tc>
        <w:tc>
          <w:tcPr>
            <w:tcW w:w="1915"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2931.60</w:t>
            </w:r>
          </w:p>
        </w:tc>
        <w:tc>
          <w:tcPr>
            <w:tcW w:w="1916"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3035.40</w:t>
            </w:r>
          </w:p>
        </w:tc>
        <w:tc>
          <w:tcPr>
            <w:tcW w:w="1916"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3147.70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Debt</w:t>
            </w:r>
          </w:p>
        </w:tc>
        <w:tc>
          <w:tcPr>
            <w:tcW w:w="1111"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972.80</w:t>
            </w:r>
          </w:p>
        </w:tc>
        <w:tc>
          <w:tcPr>
            <w:tcW w:w="1915"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803.10</w:t>
            </w:r>
          </w:p>
        </w:tc>
        <w:tc>
          <w:tcPr>
            <w:tcW w:w="1916"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744.20</w:t>
            </w:r>
          </w:p>
        </w:tc>
        <w:tc>
          <w:tcPr>
            <w:tcW w:w="1916" w:type="dxa"/>
          </w:tcPr>
          <w:p w:rsidR="009704B8" w:rsidRPr="00D5304E" w:rsidRDefault="008E7FA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813.50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D/E ratio</w:t>
            </w:r>
          </w:p>
        </w:tc>
        <w:tc>
          <w:tcPr>
            <w:tcW w:w="1111" w:type="dxa"/>
          </w:tcPr>
          <w:p w:rsidR="009704B8" w:rsidRPr="00D5304E" w:rsidRDefault="00A8109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33.98</w:t>
            </w:r>
          </w:p>
        </w:tc>
        <w:tc>
          <w:tcPr>
            <w:tcW w:w="1915" w:type="dxa"/>
          </w:tcPr>
          <w:p w:rsidR="009704B8" w:rsidRPr="00D5304E" w:rsidRDefault="00A8109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27.39</w:t>
            </w:r>
          </w:p>
        </w:tc>
        <w:tc>
          <w:tcPr>
            <w:tcW w:w="1916" w:type="dxa"/>
          </w:tcPr>
          <w:p w:rsidR="009704B8" w:rsidRPr="00D5304E" w:rsidRDefault="00A8109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24.52</w:t>
            </w:r>
          </w:p>
        </w:tc>
        <w:tc>
          <w:tcPr>
            <w:tcW w:w="1916" w:type="dxa"/>
          </w:tcPr>
          <w:p w:rsidR="009704B8" w:rsidRPr="00D5304E" w:rsidRDefault="00A8109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25.84</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ROC</w:t>
            </w:r>
          </w:p>
        </w:tc>
        <w:tc>
          <w:tcPr>
            <w:tcW w:w="1111"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9.24</w:t>
            </w:r>
          </w:p>
        </w:tc>
        <w:tc>
          <w:tcPr>
            <w:tcW w:w="1915"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10.25</w:t>
            </w:r>
          </w:p>
        </w:tc>
        <w:tc>
          <w:tcPr>
            <w:tcW w:w="1916"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11.91</w:t>
            </w:r>
          </w:p>
        </w:tc>
        <w:tc>
          <w:tcPr>
            <w:tcW w:w="1916"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12.14</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ROE</w:t>
            </w:r>
          </w:p>
        </w:tc>
        <w:tc>
          <w:tcPr>
            <w:tcW w:w="1111"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3.94</w:t>
            </w:r>
          </w:p>
        </w:tc>
        <w:tc>
          <w:tcPr>
            <w:tcW w:w="1915"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4.38</w:t>
            </w:r>
          </w:p>
        </w:tc>
        <w:tc>
          <w:tcPr>
            <w:tcW w:w="1916"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5.70</w:t>
            </w:r>
          </w:p>
        </w:tc>
        <w:tc>
          <w:tcPr>
            <w:tcW w:w="1916"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6.18</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Beta</w:t>
            </w:r>
          </w:p>
        </w:tc>
        <w:tc>
          <w:tcPr>
            <w:tcW w:w="1111" w:type="dxa"/>
          </w:tcPr>
          <w:p w:rsidR="009704B8" w:rsidRPr="00D5304E" w:rsidRDefault="00DC0063"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915" w:type="dxa"/>
          </w:tcPr>
          <w:p w:rsidR="009704B8" w:rsidRPr="00D5304E" w:rsidRDefault="00DC0063"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916" w:type="dxa"/>
          </w:tcPr>
          <w:p w:rsidR="009704B8" w:rsidRPr="00D5304E" w:rsidRDefault="00DC0063"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916" w:type="dxa"/>
          </w:tcPr>
          <w:p w:rsidR="009704B8" w:rsidRPr="00D5304E" w:rsidRDefault="00DC0063" w:rsidP="00D5304E">
            <w:pPr>
              <w:spacing w:line="480" w:lineRule="auto"/>
              <w:rPr>
                <w:rFonts w:ascii="Times New Roman" w:hAnsi="Times New Roman" w:cs="Times New Roman"/>
                <w:sz w:val="24"/>
                <w:szCs w:val="24"/>
              </w:rPr>
            </w:pPr>
            <w:r>
              <w:rPr>
                <w:rFonts w:ascii="Times New Roman" w:hAnsi="Times New Roman" w:cs="Times New Roman"/>
                <w:sz w:val="24"/>
                <w:szCs w:val="24"/>
              </w:rPr>
              <w:t>0</w:t>
            </w:r>
          </w:p>
        </w:tc>
      </w:tr>
      <w:tr w:rsidR="009704B8" w:rsidRPr="00D5304E" w:rsidTr="00FB73CD">
        <w:tc>
          <w:tcPr>
            <w:tcW w:w="2718" w:type="dxa"/>
          </w:tcPr>
          <w:p w:rsidR="009704B8" w:rsidRPr="00D5304E" w:rsidRDefault="009704B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Average share price</w:t>
            </w:r>
          </w:p>
        </w:tc>
        <w:tc>
          <w:tcPr>
            <w:tcW w:w="1111"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3.06</w:t>
            </w:r>
          </w:p>
        </w:tc>
        <w:tc>
          <w:tcPr>
            <w:tcW w:w="1915"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3.14</w:t>
            </w:r>
          </w:p>
        </w:tc>
        <w:tc>
          <w:tcPr>
            <w:tcW w:w="1916"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4.36</w:t>
            </w:r>
          </w:p>
        </w:tc>
        <w:tc>
          <w:tcPr>
            <w:tcW w:w="1916" w:type="dxa"/>
          </w:tcPr>
          <w:p w:rsidR="009704B8" w:rsidRPr="00D5304E" w:rsidRDefault="00477A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5.40</w:t>
            </w:r>
          </w:p>
        </w:tc>
      </w:tr>
    </w:tbl>
    <w:p w:rsidR="00654894" w:rsidRPr="00D5304E" w:rsidRDefault="00654894" w:rsidP="00D5304E">
      <w:pPr>
        <w:spacing w:line="480" w:lineRule="auto"/>
        <w:rPr>
          <w:rFonts w:ascii="Times New Roman" w:hAnsi="Times New Roman" w:cs="Times New Roman"/>
          <w:sz w:val="24"/>
          <w:szCs w:val="24"/>
        </w:rPr>
      </w:pPr>
    </w:p>
    <w:p w:rsidR="00907752" w:rsidRPr="00D5304E" w:rsidRDefault="00D13CC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Trailing P/E = Current share price/ Trailing twelve months </w:t>
      </w:r>
      <w:r w:rsidR="007702A8" w:rsidRPr="00D5304E">
        <w:rPr>
          <w:rFonts w:ascii="Times New Roman" w:hAnsi="Times New Roman" w:cs="Times New Roman"/>
          <w:sz w:val="24"/>
          <w:szCs w:val="24"/>
        </w:rPr>
        <w:t xml:space="preserve">earnings per share. </w:t>
      </w:r>
    </w:p>
    <w:p w:rsidR="00D13CC8" w:rsidRPr="00D5304E" w:rsidRDefault="0094551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CWN =</w:t>
      </w:r>
      <w:r w:rsidR="007702A8" w:rsidRPr="00D5304E">
        <w:rPr>
          <w:rFonts w:ascii="Times New Roman" w:hAnsi="Times New Roman" w:cs="Times New Roman"/>
          <w:sz w:val="24"/>
          <w:szCs w:val="24"/>
        </w:rPr>
        <w:t xml:space="preserve"> </w:t>
      </w:r>
      <w:r w:rsidR="00943789" w:rsidRPr="00D5304E">
        <w:rPr>
          <w:rFonts w:ascii="Times New Roman" w:hAnsi="Times New Roman" w:cs="Times New Roman"/>
          <w:sz w:val="24"/>
          <w:szCs w:val="24"/>
        </w:rPr>
        <w:t xml:space="preserve">13.11/ 130.26 = </w:t>
      </w:r>
      <w:r w:rsidR="00384823" w:rsidRPr="00D5304E">
        <w:rPr>
          <w:rFonts w:ascii="Times New Roman" w:hAnsi="Times New Roman" w:cs="Times New Roman"/>
          <w:sz w:val="24"/>
          <w:szCs w:val="24"/>
        </w:rPr>
        <w:t>0.1</w:t>
      </w:r>
      <w:r w:rsidR="00544784" w:rsidRPr="00D5304E">
        <w:rPr>
          <w:rFonts w:ascii="Times New Roman" w:hAnsi="Times New Roman" w:cs="Times New Roman"/>
          <w:sz w:val="24"/>
          <w:szCs w:val="24"/>
        </w:rPr>
        <w:t>0</w:t>
      </w:r>
    </w:p>
    <w:p w:rsidR="00D13CC8" w:rsidRPr="00D5304E" w:rsidRDefault="00D13CC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FLT</w:t>
      </w:r>
      <w:r w:rsidR="00945511" w:rsidRPr="00D5304E">
        <w:rPr>
          <w:rFonts w:ascii="Times New Roman" w:hAnsi="Times New Roman" w:cs="Times New Roman"/>
          <w:sz w:val="24"/>
          <w:szCs w:val="24"/>
        </w:rPr>
        <w:t xml:space="preserve"> = 36.38/ 254.30</w:t>
      </w:r>
      <w:r w:rsidR="00943789" w:rsidRPr="00D5304E">
        <w:rPr>
          <w:rFonts w:ascii="Times New Roman" w:hAnsi="Times New Roman" w:cs="Times New Roman"/>
          <w:sz w:val="24"/>
          <w:szCs w:val="24"/>
        </w:rPr>
        <w:t xml:space="preserve"> = </w:t>
      </w:r>
      <w:r w:rsidR="00384823" w:rsidRPr="00D5304E">
        <w:rPr>
          <w:rFonts w:ascii="Times New Roman" w:hAnsi="Times New Roman" w:cs="Times New Roman"/>
          <w:sz w:val="24"/>
          <w:szCs w:val="24"/>
        </w:rPr>
        <w:t>0</w:t>
      </w:r>
      <w:r w:rsidR="00544784" w:rsidRPr="00D5304E">
        <w:rPr>
          <w:rFonts w:ascii="Times New Roman" w:hAnsi="Times New Roman" w:cs="Times New Roman"/>
          <w:sz w:val="24"/>
          <w:szCs w:val="24"/>
        </w:rPr>
        <w:t>.143</w:t>
      </w:r>
    </w:p>
    <w:p w:rsidR="00D13CC8" w:rsidRPr="00D5304E" w:rsidRDefault="00D13CC8"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SGR </w:t>
      </w:r>
      <w:r w:rsidR="00945511" w:rsidRPr="00D5304E">
        <w:rPr>
          <w:rFonts w:ascii="Times New Roman" w:hAnsi="Times New Roman" w:cs="Times New Roman"/>
          <w:sz w:val="24"/>
          <w:szCs w:val="24"/>
        </w:rPr>
        <w:t xml:space="preserve">= 6.02/ 20.50 = </w:t>
      </w:r>
      <w:r w:rsidR="00544784" w:rsidRPr="00D5304E">
        <w:rPr>
          <w:rFonts w:ascii="Times New Roman" w:hAnsi="Times New Roman" w:cs="Times New Roman"/>
          <w:sz w:val="24"/>
          <w:szCs w:val="24"/>
        </w:rPr>
        <w:t>0.294</w:t>
      </w:r>
    </w:p>
    <w:p w:rsidR="00544784" w:rsidRPr="00D5304E" w:rsidRDefault="0054478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Rank: 1</w:t>
      </w:r>
      <w:r w:rsidRPr="00D5304E">
        <w:rPr>
          <w:rFonts w:ascii="Times New Roman" w:hAnsi="Times New Roman" w:cs="Times New Roman"/>
          <w:sz w:val="24"/>
          <w:szCs w:val="24"/>
          <w:vertAlign w:val="superscript"/>
        </w:rPr>
        <w:t>st</w:t>
      </w:r>
      <w:r w:rsidRPr="00D5304E">
        <w:rPr>
          <w:rFonts w:ascii="Times New Roman" w:hAnsi="Times New Roman" w:cs="Times New Roman"/>
          <w:sz w:val="24"/>
          <w:szCs w:val="24"/>
        </w:rPr>
        <w:t xml:space="preserve"> SGR, 2</w:t>
      </w:r>
      <w:r w:rsidRPr="00D5304E">
        <w:rPr>
          <w:rFonts w:ascii="Times New Roman" w:hAnsi="Times New Roman" w:cs="Times New Roman"/>
          <w:sz w:val="24"/>
          <w:szCs w:val="24"/>
          <w:vertAlign w:val="superscript"/>
        </w:rPr>
        <w:t>nd</w:t>
      </w:r>
      <w:r w:rsidRPr="00D5304E">
        <w:rPr>
          <w:rFonts w:ascii="Times New Roman" w:hAnsi="Times New Roman" w:cs="Times New Roman"/>
          <w:sz w:val="24"/>
          <w:szCs w:val="24"/>
        </w:rPr>
        <w:t xml:space="preserve"> FLT and </w:t>
      </w:r>
      <w:r w:rsidR="00990C6C" w:rsidRPr="00D5304E">
        <w:rPr>
          <w:rFonts w:ascii="Times New Roman" w:hAnsi="Times New Roman" w:cs="Times New Roman"/>
          <w:sz w:val="24"/>
          <w:szCs w:val="24"/>
        </w:rPr>
        <w:t>SGR 3</w:t>
      </w:r>
      <w:r w:rsidR="00990C6C" w:rsidRPr="00D5304E">
        <w:rPr>
          <w:rFonts w:ascii="Times New Roman" w:hAnsi="Times New Roman" w:cs="Times New Roman"/>
          <w:sz w:val="24"/>
          <w:szCs w:val="24"/>
          <w:vertAlign w:val="superscript"/>
        </w:rPr>
        <w:t>rd</w:t>
      </w:r>
      <w:r w:rsidR="00990C6C" w:rsidRPr="00D5304E">
        <w:rPr>
          <w:rFonts w:ascii="Times New Roman" w:hAnsi="Times New Roman" w:cs="Times New Roman"/>
          <w:sz w:val="24"/>
          <w:szCs w:val="24"/>
        </w:rPr>
        <w:t xml:space="preserve"> </w:t>
      </w:r>
    </w:p>
    <w:p w:rsidR="00990C6C" w:rsidRDefault="00990C6C"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lastRenderedPageBreak/>
        <w:t xml:space="preserve">Trailing P/B </w:t>
      </w:r>
      <w:r w:rsidR="00585259">
        <w:rPr>
          <w:rFonts w:ascii="Times New Roman" w:hAnsi="Times New Roman" w:cs="Times New Roman"/>
          <w:sz w:val="24"/>
          <w:szCs w:val="24"/>
        </w:rPr>
        <w:t xml:space="preserve">= Share price/ Book value per share </w:t>
      </w:r>
    </w:p>
    <w:p w:rsidR="00585259" w:rsidRDefault="00585259" w:rsidP="00D5304E">
      <w:pPr>
        <w:spacing w:line="480" w:lineRule="auto"/>
        <w:rPr>
          <w:rFonts w:ascii="Times New Roman" w:hAnsi="Times New Roman" w:cs="Times New Roman"/>
          <w:sz w:val="24"/>
          <w:szCs w:val="24"/>
        </w:rPr>
      </w:pPr>
      <w:r>
        <w:rPr>
          <w:rFonts w:ascii="Times New Roman" w:hAnsi="Times New Roman" w:cs="Times New Roman"/>
          <w:sz w:val="24"/>
          <w:szCs w:val="24"/>
        </w:rPr>
        <w:t xml:space="preserve">CWN = </w:t>
      </w:r>
      <w:r w:rsidR="00C650B6">
        <w:rPr>
          <w:rFonts w:ascii="Times New Roman" w:hAnsi="Times New Roman" w:cs="Times New Roman"/>
          <w:sz w:val="24"/>
          <w:szCs w:val="24"/>
        </w:rPr>
        <w:t>10.92</w:t>
      </w:r>
      <w:r w:rsidR="00D8540E">
        <w:rPr>
          <w:rFonts w:ascii="Times New Roman" w:hAnsi="Times New Roman" w:cs="Times New Roman"/>
          <w:sz w:val="24"/>
          <w:szCs w:val="24"/>
        </w:rPr>
        <w:t xml:space="preserve"> </w:t>
      </w:r>
      <w:r w:rsidR="00C650B6">
        <w:rPr>
          <w:rFonts w:ascii="Times New Roman" w:hAnsi="Times New Roman" w:cs="Times New Roman"/>
          <w:sz w:val="24"/>
          <w:szCs w:val="24"/>
        </w:rPr>
        <w:t xml:space="preserve">/ </w:t>
      </w:r>
      <w:r>
        <w:rPr>
          <w:rFonts w:ascii="Times New Roman" w:hAnsi="Times New Roman" w:cs="Times New Roman"/>
          <w:sz w:val="24"/>
          <w:szCs w:val="24"/>
        </w:rPr>
        <w:t>12.61</w:t>
      </w:r>
      <w:r w:rsidR="0050574D">
        <w:rPr>
          <w:rFonts w:ascii="Times New Roman" w:hAnsi="Times New Roman" w:cs="Times New Roman"/>
          <w:sz w:val="24"/>
          <w:szCs w:val="24"/>
        </w:rPr>
        <w:t xml:space="preserve"> = 0.87</w:t>
      </w:r>
    </w:p>
    <w:p w:rsidR="00585259" w:rsidRDefault="00585259" w:rsidP="00D5304E">
      <w:pPr>
        <w:spacing w:line="480" w:lineRule="auto"/>
        <w:rPr>
          <w:rFonts w:ascii="Times New Roman" w:hAnsi="Times New Roman" w:cs="Times New Roman"/>
          <w:sz w:val="24"/>
          <w:szCs w:val="24"/>
        </w:rPr>
      </w:pPr>
      <w:r>
        <w:rPr>
          <w:rFonts w:ascii="Times New Roman" w:hAnsi="Times New Roman" w:cs="Times New Roman"/>
          <w:sz w:val="24"/>
          <w:szCs w:val="24"/>
        </w:rPr>
        <w:t xml:space="preserve">FLT = </w:t>
      </w:r>
      <w:r w:rsidR="00D8540E">
        <w:rPr>
          <w:rFonts w:ascii="Times New Roman" w:hAnsi="Times New Roman" w:cs="Times New Roman"/>
          <w:sz w:val="24"/>
          <w:szCs w:val="24"/>
        </w:rPr>
        <w:t xml:space="preserve">34.94 / </w:t>
      </w:r>
      <w:r>
        <w:rPr>
          <w:rFonts w:ascii="Times New Roman" w:hAnsi="Times New Roman" w:cs="Times New Roman"/>
          <w:sz w:val="24"/>
          <w:szCs w:val="24"/>
        </w:rPr>
        <w:t>31.58</w:t>
      </w:r>
      <w:r w:rsidR="0050574D">
        <w:rPr>
          <w:rFonts w:ascii="Times New Roman" w:hAnsi="Times New Roman" w:cs="Times New Roman"/>
          <w:sz w:val="24"/>
          <w:szCs w:val="24"/>
        </w:rPr>
        <w:t xml:space="preserve"> = 0.11</w:t>
      </w:r>
    </w:p>
    <w:p w:rsidR="00585259" w:rsidRDefault="00585259" w:rsidP="00D5304E">
      <w:pPr>
        <w:spacing w:line="480" w:lineRule="auto"/>
        <w:rPr>
          <w:rFonts w:ascii="Times New Roman" w:hAnsi="Times New Roman" w:cs="Times New Roman"/>
          <w:sz w:val="24"/>
          <w:szCs w:val="24"/>
        </w:rPr>
      </w:pPr>
      <w:r>
        <w:rPr>
          <w:rFonts w:ascii="Times New Roman" w:hAnsi="Times New Roman" w:cs="Times New Roman"/>
          <w:sz w:val="24"/>
          <w:szCs w:val="24"/>
        </w:rPr>
        <w:t xml:space="preserve">SGR = </w:t>
      </w:r>
      <w:r w:rsidR="0050574D">
        <w:rPr>
          <w:rFonts w:ascii="Times New Roman" w:hAnsi="Times New Roman" w:cs="Times New Roman"/>
          <w:sz w:val="24"/>
          <w:szCs w:val="24"/>
        </w:rPr>
        <w:t xml:space="preserve">5.11 / </w:t>
      </w:r>
      <w:r>
        <w:rPr>
          <w:rFonts w:ascii="Times New Roman" w:hAnsi="Times New Roman" w:cs="Times New Roman"/>
          <w:sz w:val="24"/>
          <w:szCs w:val="24"/>
        </w:rPr>
        <w:t>5.40</w:t>
      </w:r>
      <w:r w:rsidR="0050574D">
        <w:rPr>
          <w:rFonts w:ascii="Times New Roman" w:hAnsi="Times New Roman" w:cs="Times New Roman"/>
          <w:sz w:val="24"/>
          <w:szCs w:val="24"/>
        </w:rPr>
        <w:t xml:space="preserve"> = </w:t>
      </w:r>
      <w:r w:rsidR="00E15F2A">
        <w:rPr>
          <w:rFonts w:ascii="Times New Roman" w:hAnsi="Times New Roman" w:cs="Times New Roman"/>
          <w:sz w:val="24"/>
          <w:szCs w:val="24"/>
        </w:rPr>
        <w:t>0.95</w:t>
      </w:r>
    </w:p>
    <w:p w:rsidR="00E15F2A" w:rsidRDefault="00E15F2A" w:rsidP="00D5304E">
      <w:pPr>
        <w:spacing w:line="480" w:lineRule="auto"/>
        <w:rPr>
          <w:rFonts w:ascii="Times New Roman" w:hAnsi="Times New Roman" w:cs="Times New Roman"/>
          <w:sz w:val="24"/>
          <w:szCs w:val="24"/>
        </w:rPr>
      </w:pPr>
      <w:r>
        <w:rPr>
          <w:rFonts w:ascii="Times New Roman" w:hAnsi="Times New Roman" w:cs="Times New Roman"/>
          <w:sz w:val="24"/>
          <w:szCs w:val="24"/>
        </w:rPr>
        <w:t>Rank; 1</w:t>
      </w:r>
      <w:r w:rsidRPr="00E15F2A">
        <w:rPr>
          <w:rFonts w:ascii="Times New Roman" w:hAnsi="Times New Roman" w:cs="Times New Roman"/>
          <w:sz w:val="24"/>
          <w:szCs w:val="24"/>
          <w:vertAlign w:val="superscript"/>
        </w:rPr>
        <w:t>st</w:t>
      </w:r>
      <w:r>
        <w:rPr>
          <w:rFonts w:ascii="Times New Roman" w:hAnsi="Times New Roman" w:cs="Times New Roman"/>
          <w:sz w:val="24"/>
          <w:szCs w:val="24"/>
        </w:rPr>
        <w:t xml:space="preserve"> FLT,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CWN and 3</w:t>
      </w:r>
      <w:r w:rsidRPr="00E15F2A">
        <w:rPr>
          <w:rFonts w:ascii="Times New Roman" w:hAnsi="Times New Roman" w:cs="Times New Roman"/>
          <w:sz w:val="24"/>
          <w:szCs w:val="24"/>
          <w:vertAlign w:val="superscript"/>
        </w:rPr>
        <w:t>rd</w:t>
      </w:r>
      <w:r>
        <w:rPr>
          <w:rFonts w:ascii="Times New Roman" w:hAnsi="Times New Roman" w:cs="Times New Roman"/>
          <w:sz w:val="24"/>
          <w:szCs w:val="24"/>
        </w:rPr>
        <w:t xml:space="preserve"> SGR</w:t>
      </w:r>
    </w:p>
    <w:p w:rsidR="00E97E53" w:rsidRPr="00D5304E" w:rsidRDefault="005546F7" w:rsidP="00E15F2A">
      <w:pPr>
        <w:spacing w:line="480" w:lineRule="auto"/>
        <w:jc w:val="center"/>
        <w:rPr>
          <w:rFonts w:ascii="Times New Roman" w:hAnsi="Times New Roman" w:cs="Times New Roman"/>
          <w:sz w:val="24"/>
          <w:szCs w:val="24"/>
        </w:rPr>
      </w:pPr>
      <w:r w:rsidRPr="00D5304E">
        <w:rPr>
          <w:rFonts w:ascii="Times New Roman" w:hAnsi="Times New Roman" w:cs="Times New Roman"/>
          <w:sz w:val="24"/>
          <w:szCs w:val="24"/>
        </w:rPr>
        <w:t>Part B</w:t>
      </w:r>
    </w:p>
    <w:p w:rsidR="005546F7" w:rsidRPr="00D5304E" w:rsidRDefault="001E091A"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Santos Ltd. </w:t>
      </w:r>
    </w:p>
    <w:p w:rsidR="00D233D0" w:rsidRPr="00D5304E" w:rsidRDefault="00B34800" w:rsidP="00B34800">
      <w:pPr>
        <w:spacing w:line="480" w:lineRule="auto"/>
        <w:rPr>
          <w:rFonts w:ascii="Times New Roman" w:hAnsi="Times New Roman" w:cs="Times New Roman"/>
          <w:sz w:val="24"/>
          <w:szCs w:val="24"/>
        </w:rPr>
      </w:pPr>
      <w:r>
        <w:rPr>
          <w:rFonts w:ascii="Times New Roman" w:hAnsi="Times New Roman" w:cs="Times New Roman"/>
          <w:sz w:val="24"/>
          <w:szCs w:val="24"/>
        </w:rPr>
        <w:t xml:space="preserve">Section 1: </w:t>
      </w:r>
      <w:r w:rsidR="00D233D0" w:rsidRPr="00D5304E">
        <w:rPr>
          <w:rFonts w:ascii="Times New Roman" w:hAnsi="Times New Roman" w:cs="Times New Roman"/>
          <w:sz w:val="24"/>
          <w:szCs w:val="24"/>
        </w:rPr>
        <w:t xml:space="preserve">Operating </w:t>
      </w:r>
      <w:r w:rsidR="00DC0063">
        <w:rPr>
          <w:rFonts w:ascii="Times New Roman" w:hAnsi="Times New Roman" w:cs="Times New Roman"/>
          <w:sz w:val="24"/>
          <w:szCs w:val="24"/>
        </w:rPr>
        <w:t>E</w:t>
      </w:r>
      <w:r w:rsidR="00D233D0" w:rsidRPr="00D5304E">
        <w:rPr>
          <w:rFonts w:ascii="Times New Roman" w:hAnsi="Times New Roman" w:cs="Times New Roman"/>
          <w:sz w:val="24"/>
          <w:szCs w:val="24"/>
        </w:rPr>
        <w:t>nvironment of Santos Ltd</w:t>
      </w:r>
    </w:p>
    <w:p w:rsidR="008B7BDD" w:rsidRPr="00D5304E" w:rsidRDefault="001E091A" w:rsidP="00DD518A">
      <w:pPr>
        <w:spacing w:line="480" w:lineRule="auto"/>
        <w:ind w:firstLine="720"/>
        <w:rPr>
          <w:rFonts w:ascii="Times New Roman" w:hAnsi="Times New Roman" w:cs="Times New Roman"/>
          <w:sz w:val="24"/>
          <w:szCs w:val="24"/>
        </w:rPr>
      </w:pPr>
      <w:r w:rsidRPr="00D5304E">
        <w:rPr>
          <w:rFonts w:ascii="Times New Roman" w:hAnsi="Times New Roman" w:cs="Times New Roman"/>
          <w:sz w:val="24"/>
          <w:szCs w:val="24"/>
        </w:rPr>
        <w:t>The South Australia Northern Territory Oil Search (Santos) is</w:t>
      </w:r>
      <w:r w:rsidR="000966C1" w:rsidRPr="00D5304E">
        <w:rPr>
          <w:rFonts w:ascii="Times New Roman" w:hAnsi="Times New Roman" w:cs="Times New Roman"/>
          <w:sz w:val="24"/>
          <w:szCs w:val="24"/>
        </w:rPr>
        <w:t xml:space="preserve"> an</w:t>
      </w:r>
      <w:r w:rsidRPr="00D5304E">
        <w:rPr>
          <w:rFonts w:ascii="Times New Roman" w:hAnsi="Times New Roman" w:cs="Times New Roman"/>
          <w:sz w:val="24"/>
          <w:szCs w:val="24"/>
        </w:rPr>
        <w:t xml:space="preserve"> Australian company in the energy industry that deals with oil and gas. </w:t>
      </w:r>
      <w:r w:rsidR="007C1E98" w:rsidRPr="00D5304E">
        <w:rPr>
          <w:rFonts w:ascii="Times New Roman" w:hAnsi="Times New Roman" w:cs="Times New Roman"/>
          <w:sz w:val="24"/>
          <w:szCs w:val="24"/>
        </w:rPr>
        <w:t>It is one of the largest gas pro</w:t>
      </w:r>
      <w:r w:rsidR="00A34C1D" w:rsidRPr="00D5304E">
        <w:rPr>
          <w:rFonts w:ascii="Times New Roman" w:hAnsi="Times New Roman" w:cs="Times New Roman"/>
          <w:sz w:val="24"/>
          <w:szCs w:val="24"/>
        </w:rPr>
        <w:t xml:space="preserve">ducers in Australia and supplies oil and liquids to both international and domestic customers. </w:t>
      </w:r>
      <w:r w:rsidR="00FF0B84" w:rsidRPr="00D5304E">
        <w:rPr>
          <w:rFonts w:ascii="Times New Roman" w:hAnsi="Times New Roman" w:cs="Times New Roman"/>
          <w:sz w:val="24"/>
          <w:szCs w:val="24"/>
        </w:rPr>
        <w:t xml:space="preserve">The core business of the company was </w:t>
      </w:r>
      <w:r w:rsidR="00D233D0" w:rsidRPr="00D5304E">
        <w:rPr>
          <w:rFonts w:ascii="Times New Roman" w:hAnsi="Times New Roman" w:cs="Times New Roman"/>
          <w:sz w:val="24"/>
          <w:szCs w:val="24"/>
        </w:rPr>
        <w:t>built on</w:t>
      </w:r>
      <w:r w:rsidR="00096C4B" w:rsidRPr="00D5304E">
        <w:rPr>
          <w:rFonts w:ascii="Times New Roman" w:hAnsi="Times New Roman" w:cs="Times New Roman"/>
          <w:sz w:val="24"/>
          <w:szCs w:val="24"/>
        </w:rPr>
        <w:t xml:space="preserve"> oil and gas discoveries in </w:t>
      </w:r>
      <w:r w:rsidR="00D502A3" w:rsidRPr="00D5304E">
        <w:rPr>
          <w:rFonts w:ascii="Times New Roman" w:hAnsi="Times New Roman" w:cs="Times New Roman"/>
          <w:sz w:val="24"/>
          <w:szCs w:val="24"/>
        </w:rPr>
        <w:t>Copper</w:t>
      </w:r>
      <w:r w:rsidR="00096C4B" w:rsidRPr="00D5304E">
        <w:rPr>
          <w:rFonts w:ascii="Times New Roman" w:hAnsi="Times New Roman" w:cs="Times New Roman"/>
          <w:sz w:val="24"/>
          <w:szCs w:val="24"/>
        </w:rPr>
        <w:t xml:space="preserve"> Basin</w:t>
      </w:r>
      <w:r w:rsidR="00DB16D8" w:rsidRPr="00D5304E">
        <w:rPr>
          <w:rFonts w:ascii="Times New Roman" w:hAnsi="Times New Roman" w:cs="Times New Roman"/>
          <w:sz w:val="24"/>
          <w:szCs w:val="24"/>
        </w:rPr>
        <w:t xml:space="preserve">. </w:t>
      </w:r>
      <w:r w:rsidR="009707A7" w:rsidRPr="00D5304E">
        <w:rPr>
          <w:rFonts w:ascii="Times New Roman" w:hAnsi="Times New Roman" w:cs="Times New Roman"/>
          <w:sz w:val="24"/>
          <w:szCs w:val="24"/>
        </w:rPr>
        <w:t xml:space="preserve">Rather than supplying oil and gas, the </w:t>
      </w:r>
      <w:r w:rsidR="00D233D0" w:rsidRPr="00D5304E">
        <w:rPr>
          <w:rFonts w:ascii="Times New Roman" w:hAnsi="Times New Roman" w:cs="Times New Roman"/>
          <w:sz w:val="24"/>
          <w:szCs w:val="24"/>
        </w:rPr>
        <w:t>company also engages</w:t>
      </w:r>
      <w:r w:rsidR="009707A7" w:rsidRPr="00D5304E">
        <w:rPr>
          <w:rFonts w:ascii="Times New Roman" w:hAnsi="Times New Roman" w:cs="Times New Roman"/>
          <w:sz w:val="24"/>
          <w:szCs w:val="24"/>
        </w:rPr>
        <w:t xml:space="preserve"> in exploration and </w:t>
      </w:r>
      <w:r w:rsidR="00D233D0" w:rsidRPr="00D5304E">
        <w:rPr>
          <w:rFonts w:ascii="Times New Roman" w:hAnsi="Times New Roman" w:cs="Times New Roman"/>
          <w:sz w:val="24"/>
          <w:szCs w:val="24"/>
        </w:rPr>
        <w:t>production</w:t>
      </w:r>
      <w:r w:rsidR="009707A7" w:rsidRPr="00D5304E">
        <w:rPr>
          <w:rFonts w:ascii="Times New Roman" w:hAnsi="Times New Roman" w:cs="Times New Roman"/>
          <w:sz w:val="24"/>
          <w:szCs w:val="24"/>
        </w:rPr>
        <w:t xml:space="preserve"> activities in both the </w:t>
      </w:r>
      <w:r w:rsidR="000437F7" w:rsidRPr="00D5304E">
        <w:rPr>
          <w:rFonts w:ascii="Times New Roman" w:hAnsi="Times New Roman" w:cs="Times New Roman"/>
          <w:sz w:val="24"/>
          <w:szCs w:val="24"/>
        </w:rPr>
        <w:t xml:space="preserve">domestic market and off shore countries such as Egypt, Indonesia, Kyrgyzstan, India, Vietnam, </w:t>
      </w:r>
      <w:r w:rsidR="00FE19B0" w:rsidRPr="00D5304E">
        <w:rPr>
          <w:rFonts w:ascii="Times New Roman" w:hAnsi="Times New Roman" w:cs="Times New Roman"/>
          <w:sz w:val="24"/>
          <w:szCs w:val="24"/>
        </w:rPr>
        <w:t>New Guinea and Bangladesh</w:t>
      </w:r>
      <w:r w:rsidR="00DA2CF0">
        <w:rPr>
          <w:rFonts w:ascii="Times New Roman" w:hAnsi="Times New Roman" w:cs="Times New Roman"/>
          <w:sz w:val="24"/>
          <w:szCs w:val="24"/>
        </w:rPr>
        <w:t xml:space="preserve"> </w:t>
      </w:r>
      <w:r w:rsidR="00B50F43">
        <w:rPr>
          <w:rFonts w:ascii="Times New Roman" w:hAnsi="Times New Roman" w:cs="Times New Roman"/>
          <w:sz w:val="24"/>
          <w:szCs w:val="24"/>
        </w:rPr>
        <w:t>(Morningstar)</w:t>
      </w:r>
      <w:r w:rsidR="00FE19B0" w:rsidRPr="00D5304E">
        <w:rPr>
          <w:rFonts w:ascii="Times New Roman" w:hAnsi="Times New Roman" w:cs="Times New Roman"/>
          <w:sz w:val="24"/>
          <w:szCs w:val="24"/>
        </w:rPr>
        <w:t xml:space="preserve">. </w:t>
      </w:r>
    </w:p>
    <w:p w:rsidR="001E091A" w:rsidRPr="00D5304E" w:rsidRDefault="008B7BDD" w:rsidP="00DD518A">
      <w:pPr>
        <w:spacing w:line="480" w:lineRule="auto"/>
        <w:ind w:firstLine="720"/>
        <w:rPr>
          <w:rFonts w:ascii="Times New Roman" w:hAnsi="Times New Roman" w:cs="Times New Roman"/>
          <w:sz w:val="24"/>
          <w:szCs w:val="24"/>
        </w:rPr>
      </w:pPr>
      <w:r w:rsidRPr="00D5304E">
        <w:rPr>
          <w:rFonts w:ascii="Times New Roman" w:hAnsi="Times New Roman" w:cs="Times New Roman"/>
          <w:sz w:val="24"/>
          <w:szCs w:val="24"/>
        </w:rPr>
        <w:t xml:space="preserve">Just like any other company in the energy industry, Santos is significantly affected by the </w:t>
      </w:r>
      <w:r w:rsidR="00600ED6" w:rsidRPr="00D5304E">
        <w:rPr>
          <w:rFonts w:ascii="Times New Roman" w:hAnsi="Times New Roman" w:cs="Times New Roman"/>
          <w:sz w:val="24"/>
          <w:szCs w:val="24"/>
        </w:rPr>
        <w:t>persistent</w:t>
      </w:r>
      <w:r w:rsidRPr="00D5304E">
        <w:rPr>
          <w:rFonts w:ascii="Times New Roman" w:hAnsi="Times New Roman" w:cs="Times New Roman"/>
          <w:sz w:val="24"/>
          <w:szCs w:val="24"/>
        </w:rPr>
        <w:t xml:space="preserve"> reduction of oil prices globally. </w:t>
      </w:r>
      <w:proofErr w:type="gramStart"/>
      <w:r w:rsidRPr="00D5304E">
        <w:rPr>
          <w:rFonts w:ascii="Times New Roman" w:hAnsi="Times New Roman" w:cs="Times New Roman"/>
          <w:sz w:val="24"/>
          <w:szCs w:val="24"/>
        </w:rPr>
        <w:t>the</w:t>
      </w:r>
      <w:proofErr w:type="gramEnd"/>
      <w:r w:rsidRPr="00D5304E">
        <w:rPr>
          <w:rFonts w:ascii="Times New Roman" w:hAnsi="Times New Roman" w:cs="Times New Roman"/>
          <w:sz w:val="24"/>
          <w:szCs w:val="24"/>
        </w:rPr>
        <w:t xml:space="preserve"> reduction of the oil </w:t>
      </w:r>
      <w:r w:rsidR="00600ED6" w:rsidRPr="00D5304E">
        <w:rPr>
          <w:rFonts w:ascii="Times New Roman" w:hAnsi="Times New Roman" w:cs="Times New Roman"/>
          <w:sz w:val="24"/>
          <w:szCs w:val="24"/>
        </w:rPr>
        <w:t>p</w:t>
      </w:r>
      <w:r w:rsidRPr="00D5304E">
        <w:rPr>
          <w:rFonts w:ascii="Times New Roman" w:hAnsi="Times New Roman" w:cs="Times New Roman"/>
          <w:sz w:val="24"/>
          <w:szCs w:val="24"/>
        </w:rPr>
        <w:t>rices in the world has made search and exploration o</w:t>
      </w:r>
      <w:r w:rsidR="00600ED6" w:rsidRPr="00D5304E">
        <w:rPr>
          <w:rFonts w:ascii="Times New Roman" w:hAnsi="Times New Roman" w:cs="Times New Roman"/>
          <w:sz w:val="24"/>
          <w:szCs w:val="24"/>
        </w:rPr>
        <w:t xml:space="preserve">f oil become an expensive venture due to the minimal returns from the sales of oil and gases. </w:t>
      </w:r>
      <w:proofErr w:type="gramStart"/>
      <w:r w:rsidR="0052398C" w:rsidRPr="00D5304E">
        <w:rPr>
          <w:rFonts w:ascii="Times New Roman" w:hAnsi="Times New Roman" w:cs="Times New Roman"/>
          <w:sz w:val="24"/>
          <w:szCs w:val="24"/>
        </w:rPr>
        <w:t>(PWC)</w:t>
      </w:r>
      <w:r w:rsidR="00B122FA" w:rsidRPr="00D5304E">
        <w:rPr>
          <w:rFonts w:ascii="Times New Roman" w:hAnsi="Times New Roman" w:cs="Times New Roman"/>
          <w:sz w:val="24"/>
          <w:szCs w:val="24"/>
        </w:rPr>
        <w:t>.</w:t>
      </w:r>
      <w:proofErr w:type="gramEnd"/>
      <w:r w:rsidR="00B122FA" w:rsidRPr="00D5304E">
        <w:rPr>
          <w:rFonts w:ascii="Times New Roman" w:hAnsi="Times New Roman" w:cs="Times New Roman"/>
          <w:sz w:val="24"/>
          <w:szCs w:val="24"/>
        </w:rPr>
        <w:t xml:space="preserve"> </w:t>
      </w:r>
      <w:r w:rsidR="00AE0785" w:rsidRPr="00D5304E">
        <w:rPr>
          <w:rFonts w:ascii="Times New Roman" w:hAnsi="Times New Roman" w:cs="Times New Roman"/>
          <w:sz w:val="24"/>
          <w:szCs w:val="24"/>
        </w:rPr>
        <w:t>Another challenge that the compa</w:t>
      </w:r>
      <w:r w:rsidR="00B122FA" w:rsidRPr="00D5304E">
        <w:rPr>
          <w:rFonts w:ascii="Times New Roman" w:hAnsi="Times New Roman" w:cs="Times New Roman"/>
          <w:sz w:val="24"/>
          <w:szCs w:val="24"/>
        </w:rPr>
        <w:t xml:space="preserve">ny faces is stiff competition from other companies trading in oil and gases. </w:t>
      </w:r>
    </w:p>
    <w:p w:rsidR="00AE0785" w:rsidRPr="00D5304E" w:rsidRDefault="00B34800" w:rsidP="00BE060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Section 2</w:t>
      </w:r>
      <w:r w:rsidR="00BE0603">
        <w:rPr>
          <w:rFonts w:ascii="Times New Roman" w:hAnsi="Times New Roman" w:cs="Times New Roman"/>
          <w:sz w:val="24"/>
          <w:szCs w:val="24"/>
        </w:rPr>
        <w:t xml:space="preserve">: </w:t>
      </w:r>
      <w:r w:rsidR="00DD518A">
        <w:rPr>
          <w:rFonts w:ascii="Times New Roman" w:hAnsi="Times New Roman" w:cs="Times New Roman"/>
          <w:sz w:val="24"/>
          <w:szCs w:val="24"/>
        </w:rPr>
        <w:t>Analysis of R</w:t>
      </w:r>
      <w:r w:rsidR="00AE0785" w:rsidRPr="00D5304E">
        <w:rPr>
          <w:rFonts w:ascii="Times New Roman" w:hAnsi="Times New Roman" w:cs="Times New Roman"/>
          <w:sz w:val="24"/>
          <w:szCs w:val="24"/>
        </w:rPr>
        <w:t>evenues</w:t>
      </w:r>
    </w:p>
    <w:tbl>
      <w:tblPr>
        <w:tblStyle w:val="TableGrid"/>
        <w:tblW w:w="0" w:type="auto"/>
        <w:tblLook w:val="04A0"/>
      </w:tblPr>
      <w:tblGrid>
        <w:gridCol w:w="2178"/>
        <w:gridCol w:w="1014"/>
        <w:gridCol w:w="1596"/>
        <w:gridCol w:w="1596"/>
        <w:gridCol w:w="1596"/>
        <w:gridCol w:w="1596"/>
      </w:tblGrid>
      <w:tr w:rsidR="005B33A5" w:rsidRPr="00D5304E" w:rsidTr="00BE0603">
        <w:tc>
          <w:tcPr>
            <w:tcW w:w="2178" w:type="dxa"/>
          </w:tcPr>
          <w:p w:rsidR="005B33A5" w:rsidRPr="00D5304E" w:rsidRDefault="005B33A5"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Company Name</w:t>
            </w:r>
          </w:p>
        </w:tc>
        <w:tc>
          <w:tcPr>
            <w:tcW w:w="1014" w:type="dxa"/>
          </w:tcPr>
          <w:p w:rsidR="005B33A5" w:rsidRPr="00D5304E" w:rsidRDefault="005B33A5"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STO</w:t>
            </w:r>
          </w:p>
        </w:tc>
        <w:tc>
          <w:tcPr>
            <w:tcW w:w="1596" w:type="dxa"/>
          </w:tcPr>
          <w:p w:rsidR="005B33A5" w:rsidRPr="00D5304E" w:rsidRDefault="005B33A5" w:rsidP="00D5304E">
            <w:pPr>
              <w:spacing w:line="480" w:lineRule="auto"/>
              <w:rPr>
                <w:rFonts w:ascii="Times New Roman" w:hAnsi="Times New Roman" w:cs="Times New Roman"/>
                <w:sz w:val="24"/>
                <w:szCs w:val="24"/>
              </w:rPr>
            </w:pPr>
          </w:p>
        </w:tc>
        <w:tc>
          <w:tcPr>
            <w:tcW w:w="1596" w:type="dxa"/>
          </w:tcPr>
          <w:p w:rsidR="005B33A5" w:rsidRPr="00D5304E" w:rsidRDefault="005B33A5" w:rsidP="00D5304E">
            <w:pPr>
              <w:spacing w:line="480" w:lineRule="auto"/>
              <w:rPr>
                <w:rFonts w:ascii="Times New Roman" w:hAnsi="Times New Roman" w:cs="Times New Roman"/>
                <w:sz w:val="24"/>
                <w:szCs w:val="24"/>
              </w:rPr>
            </w:pPr>
          </w:p>
        </w:tc>
        <w:tc>
          <w:tcPr>
            <w:tcW w:w="1596" w:type="dxa"/>
          </w:tcPr>
          <w:p w:rsidR="005B33A5" w:rsidRPr="00D5304E" w:rsidRDefault="005B33A5" w:rsidP="00D5304E">
            <w:pPr>
              <w:spacing w:line="480" w:lineRule="auto"/>
              <w:rPr>
                <w:rFonts w:ascii="Times New Roman" w:hAnsi="Times New Roman" w:cs="Times New Roman"/>
                <w:sz w:val="24"/>
                <w:szCs w:val="24"/>
              </w:rPr>
            </w:pPr>
          </w:p>
        </w:tc>
        <w:tc>
          <w:tcPr>
            <w:tcW w:w="1596" w:type="dxa"/>
          </w:tcPr>
          <w:p w:rsidR="005B33A5" w:rsidRPr="00D5304E" w:rsidRDefault="005B33A5" w:rsidP="00D5304E">
            <w:pPr>
              <w:spacing w:line="480" w:lineRule="auto"/>
              <w:rPr>
                <w:rFonts w:ascii="Times New Roman" w:hAnsi="Times New Roman" w:cs="Times New Roman"/>
                <w:sz w:val="24"/>
                <w:szCs w:val="24"/>
              </w:rPr>
            </w:pPr>
          </w:p>
        </w:tc>
      </w:tr>
      <w:tr w:rsidR="005B33A5" w:rsidRPr="00D5304E" w:rsidTr="00BE0603">
        <w:tc>
          <w:tcPr>
            <w:tcW w:w="2178" w:type="dxa"/>
          </w:tcPr>
          <w:p w:rsidR="005B33A5" w:rsidRPr="00D5304E" w:rsidRDefault="005B33A5"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Year</w:t>
            </w:r>
          </w:p>
        </w:tc>
        <w:tc>
          <w:tcPr>
            <w:tcW w:w="1014" w:type="dxa"/>
          </w:tcPr>
          <w:p w:rsidR="005B33A5" w:rsidRPr="00D5304E" w:rsidRDefault="004F7E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2011</w:t>
            </w:r>
          </w:p>
        </w:tc>
        <w:tc>
          <w:tcPr>
            <w:tcW w:w="1596" w:type="dxa"/>
          </w:tcPr>
          <w:p w:rsidR="005B33A5" w:rsidRPr="00D5304E" w:rsidRDefault="004F7E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2012</w:t>
            </w:r>
          </w:p>
        </w:tc>
        <w:tc>
          <w:tcPr>
            <w:tcW w:w="1596" w:type="dxa"/>
          </w:tcPr>
          <w:p w:rsidR="005B33A5" w:rsidRPr="00D5304E" w:rsidRDefault="004F7E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2013</w:t>
            </w:r>
          </w:p>
        </w:tc>
        <w:tc>
          <w:tcPr>
            <w:tcW w:w="1596" w:type="dxa"/>
          </w:tcPr>
          <w:p w:rsidR="005B33A5" w:rsidRPr="00D5304E" w:rsidRDefault="004F7E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2014</w:t>
            </w:r>
          </w:p>
        </w:tc>
        <w:tc>
          <w:tcPr>
            <w:tcW w:w="1596" w:type="dxa"/>
          </w:tcPr>
          <w:p w:rsidR="005B33A5" w:rsidRPr="00D5304E" w:rsidRDefault="004F7EE7"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2015</w:t>
            </w:r>
          </w:p>
        </w:tc>
      </w:tr>
      <w:tr w:rsidR="005B33A5" w:rsidRPr="00D5304E" w:rsidTr="00BE0603">
        <w:tc>
          <w:tcPr>
            <w:tcW w:w="2178" w:type="dxa"/>
          </w:tcPr>
          <w:p w:rsidR="005B33A5" w:rsidRPr="00D5304E" w:rsidRDefault="002C4706" w:rsidP="00D5304E">
            <w:pPr>
              <w:spacing w:line="480" w:lineRule="auto"/>
              <w:rPr>
                <w:rFonts w:ascii="Times New Roman" w:hAnsi="Times New Roman" w:cs="Times New Roman"/>
                <w:b/>
                <w:sz w:val="24"/>
                <w:szCs w:val="24"/>
              </w:rPr>
            </w:pPr>
            <w:r w:rsidRPr="00D5304E">
              <w:rPr>
                <w:rFonts w:ascii="Times New Roman" w:hAnsi="Times New Roman" w:cs="Times New Roman"/>
                <w:b/>
                <w:sz w:val="24"/>
                <w:szCs w:val="24"/>
              </w:rPr>
              <w:t>Revenues:</w:t>
            </w:r>
          </w:p>
          <w:p w:rsidR="007E3645" w:rsidRPr="00D5304E" w:rsidRDefault="007E3645" w:rsidP="00D5304E">
            <w:pPr>
              <w:spacing w:line="480" w:lineRule="auto"/>
              <w:rPr>
                <w:rFonts w:ascii="Times New Roman" w:hAnsi="Times New Roman" w:cs="Times New Roman"/>
                <w:sz w:val="24"/>
                <w:szCs w:val="24"/>
              </w:rPr>
            </w:pPr>
          </w:p>
          <w:p w:rsidR="00A60984" w:rsidRPr="00D5304E" w:rsidRDefault="002C470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Operating revenue </w:t>
            </w:r>
          </w:p>
          <w:p w:rsidR="002C4706" w:rsidRPr="00D5304E" w:rsidRDefault="002C4706"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Other revenue</w:t>
            </w:r>
          </w:p>
          <w:p w:rsidR="00AA2B2F" w:rsidRPr="00D5304E" w:rsidRDefault="00AA2B2F"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Total revenue</w:t>
            </w:r>
          </w:p>
        </w:tc>
        <w:tc>
          <w:tcPr>
            <w:tcW w:w="1014" w:type="dxa"/>
          </w:tcPr>
          <w:p w:rsidR="002C4706" w:rsidRPr="00D5304E" w:rsidRDefault="002C4706" w:rsidP="00D5304E">
            <w:pPr>
              <w:spacing w:line="480" w:lineRule="auto"/>
              <w:rPr>
                <w:rFonts w:ascii="Times New Roman" w:hAnsi="Times New Roman" w:cs="Times New Roman"/>
                <w:sz w:val="24"/>
                <w:szCs w:val="24"/>
              </w:rPr>
            </w:pPr>
          </w:p>
          <w:p w:rsidR="005B33A5" w:rsidRPr="00D5304E" w:rsidRDefault="005B33A5" w:rsidP="00D5304E">
            <w:pPr>
              <w:spacing w:line="480" w:lineRule="auto"/>
              <w:rPr>
                <w:rFonts w:ascii="Times New Roman" w:hAnsi="Times New Roman" w:cs="Times New Roman"/>
                <w:sz w:val="24"/>
                <w:szCs w:val="24"/>
              </w:rPr>
            </w:pPr>
          </w:p>
          <w:p w:rsidR="002C4706"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2619.00</w:t>
            </w:r>
          </w:p>
          <w:p w:rsidR="00264232"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554.00</w:t>
            </w:r>
          </w:p>
          <w:p w:rsidR="00AA2B2F" w:rsidRPr="00D5304E" w:rsidRDefault="00AA2B2F"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3173.00</w:t>
            </w:r>
          </w:p>
        </w:tc>
        <w:tc>
          <w:tcPr>
            <w:tcW w:w="1596" w:type="dxa"/>
          </w:tcPr>
          <w:p w:rsidR="00264232" w:rsidRPr="00D5304E" w:rsidRDefault="00264232" w:rsidP="00D5304E">
            <w:pPr>
              <w:spacing w:line="480" w:lineRule="auto"/>
              <w:rPr>
                <w:rFonts w:ascii="Times New Roman" w:hAnsi="Times New Roman" w:cs="Times New Roman"/>
                <w:sz w:val="24"/>
                <w:szCs w:val="24"/>
              </w:rPr>
            </w:pPr>
          </w:p>
          <w:p w:rsidR="00264232" w:rsidRPr="00D5304E" w:rsidRDefault="00264232" w:rsidP="00D5304E">
            <w:pPr>
              <w:spacing w:line="480" w:lineRule="auto"/>
              <w:rPr>
                <w:rFonts w:ascii="Times New Roman" w:hAnsi="Times New Roman" w:cs="Times New Roman"/>
                <w:sz w:val="24"/>
                <w:szCs w:val="24"/>
              </w:rPr>
            </w:pPr>
          </w:p>
          <w:p w:rsidR="005B33A5"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3287.00</w:t>
            </w:r>
          </w:p>
          <w:p w:rsidR="00264232"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28.00</w:t>
            </w:r>
          </w:p>
          <w:p w:rsidR="00AA2B2F" w:rsidRPr="00D5304E" w:rsidRDefault="00AA2B2F"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3315.00</w:t>
            </w:r>
          </w:p>
        </w:tc>
        <w:tc>
          <w:tcPr>
            <w:tcW w:w="1596" w:type="dxa"/>
          </w:tcPr>
          <w:p w:rsidR="00264232" w:rsidRPr="00D5304E" w:rsidRDefault="00264232" w:rsidP="00D5304E">
            <w:pPr>
              <w:spacing w:line="480" w:lineRule="auto"/>
              <w:rPr>
                <w:rFonts w:ascii="Times New Roman" w:hAnsi="Times New Roman" w:cs="Times New Roman"/>
                <w:sz w:val="24"/>
                <w:szCs w:val="24"/>
              </w:rPr>
            </w:pPr>
          </w:p>
          <w:p w:rsidR="00264232" w:rsidRPr="00D5304E" w:rsidRDefault="00264232" w:rsidP="00D5304E">
            <w:pPr>
              <w:spacing w:line="480" w:lineRule="auto"/>
              <w:rPr>
                <w:rFonts w:ascii="Times New Roman" w:hAnsi="Times New Roman" w:cs="Times New Roman"/>
                <w:sz w:val="24"/>
                <w:szCs w:val="24"/>
              </w:rPr>
            </w:pPr>
          </w:p>
          <w:p w:rsidR="005B33A5"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3641.00</w:t>
            </w:r>
          </w:p>
          <w:p w:rsidR="00264232"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34.00</w:t>
            </w:r>
          </w:p>
          <w:p w:rsidR="00AA2B2F" w:rsidRPr="00D5304E" w:rsidRDefault="00AA2B2F"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3675.00</w:t>
            </w:r>
          </w:p>
        </w:tc>
        <w:tc>
          <w:tcPr>
            <w:tcW w:w="1596" w:type="dxa"/>
          </w:tcPr>
          <w:p w:rsidR="00264232" w:rsidRPr="00D5304E" w:rsidRDefault="00264232" w:rsidP="00D5304E">
            <w:pPr>
              <w:spacing w:line="480" w:lineRule="auto"/>
              <w:rPr>
                <w:rFonts w:ascii="Times New Roman" w:hAnsi="Times New Roman" w:cs="Times New Roman"/>
                <w:sz w:val="24"/>
                <w:szCs w:val="24"/>
              </w:rPr>
            </w:pPr>
          </w:p>
          <w:p w:rsidR="00264232" w:rsidRPr="00D5304E" w:rsidRDefault="00264232" w:rsidP="00D5304E">
            <w:pPr>
              <w:spacing w:line="480" w:lineRule="auto"/>
              <w:rPr>
                <w:rFonts w:ascii="Times New Roman" w:hAnsi="Times New Roman" w:cs="Times New Roman"/>
                <w:sz w:val="24"/>
                <w:szCs w:val="24"/>
              </w:rPr>
            </w:pPr>
          </w:p>
          <w:p w:rsidR="005B33A5"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4037.00</w:t>
            </w:r>
          </w:p>
          <w:p w:rsidR="00264232" w:rsidRPr="00D5304E" w:rsidRDefault="00264232"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74.00</w:t>
            </w:r>
          </w:p>
          <w:p w:rsidR="00AA2B2F" w:rsidRPr="00D5304E" w:rsidRDefault="00AA2B2F"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411</w:t>
            </w:r>
            <w:r w:rsidR="00D04771" w:rsidRPr="00D5304E">
              <w:rPr>
                <w:rFonts w:ascii="Times New Roman" w:hAnsi="Times New Roman" w:cs="Times New Roman"/>
                <w:sz w:val="24"/>
                <w:szCs w:val="24"/>
              </w:rPr>
              <w:t>1</w:t>
            </w:r>
            <w:r w:rsidRPr="00D5304E">
              <w:rPr>
                <w:rFonts w:ascii="Times New Roman" w:hAnsi="Times New Roman" w:cs="Times New Roman"/>
                <w:sz w:val="24"/>
                <w:szCs w:val="24"/>
              </w:rPr>
              <w:t>.00</w:t>
            </w:r>
          </w:p>
        </w:tc>
        <w:tc>
          <w:tcPr>
            <w:tcW w:w="1596" w:type="dxa"/>
          </w:tcPr>
          <w:p w:rsidR="00AA2B2F" w:rsidRPr="00D5304E" w:rsidRDefault="00AA2B2F" w:rsidP="00D5304E">
            <w:pPr>
              <w:spacing w:line="480" w:lineRule="auto"/>
              <w:rPr>
                <w:rFonts w:ascii="Times New Roman" w:hAnsi="Times New Roman" w:cs="Times New Roman"/>
                <w:sz w:val="24"/>
                <w:szCs w:val="24"/>
              </w:rPr>
            </w:pPr>
          </w:p>
          <w:p w:rsidR="00AA2B2F" w:rsidRPr="00D5304E" w:rsidRDefault="00AA2B2F" w:rsidP="00D5304E">
            <w:pPr>
              <w:spacing w:line="480" w:lineRule="auto"/>
              <w:rPr>
                <w:rFonts w:ascii="Times New Roman" w:hAnsi="Times New Roman" w:cs="Times New Roman"/>
                <w:sz w:val="24"/>
                <w:szCs w:val="24"/>
              </w:rPr>
            </w:pPr>
          </w:p>
          <w:p w:rsidR="005B33A5" w:rsidRPr="00D5304E" w:rsidRDefault="00AA2B2F"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3246.00</w:t>
            </w:r>
          </w:p>
          <w:p w:rsidR="00AA2B2F" w:rsidRPr="00D5304E" w:rsidRDefault="00AA2B2F"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61.00</w:t>
            </w:r>
          </w:p>
          <w:p w:rsidR="00D04771" w:rsidRPr="00D5304E" w:rsidRDefault="00D04771"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3307.00</w:t>
            </w:r>
          </w:p>
        </w:tc>
      </w:tr>
      <w:tr w:rsidR="00CC29BA" w:rsidRPr="00D5304E" w:rsidTr="00BE0603">
        <w:tc>
          <w:tcPr>
            <w:tcW w:w="2178" w:type="dxa"/>
          </w:tcPr>
          <w:p w:rsidR="00CC29BA" w:rsidRPr="00D5304E" w:rsidRDefault="00CC29BA" w:rsidP="00D5304E">
            <w:pPr>
              <w:spacing w:line="480" w:lineRule="auto"/>
              <w:rPr>
                <w:rFonts w:ascii="Times New Roman" w:hAnsi="Times New Roman" w:cs="Times New Roman"/>
                <w:b/>
                <w:sz w:val="24"/>
                <w:szCs w:val="24"/>
              </w:rPr>
            </w:pPr>
            <w:r w:rsidRPr="00D5304E">
              <w:rPr>
                <w:rFonts w:ascii="Times New Roman" w:hAnsi="Times New Roman" w:cs="Times New Roman"/>
                <w:b/>
                <w:sz w:val="24"/>
                <w:szCs w:val="24"/>
              </w:rPr>
              <w:t>Percentage growth</w:t>
            </w:r>
          </w:p>
        </w:tc>
        <w:tc>
          <w:tcPr>
            <w:tcW w:w="1014" w:type="dxa"/>
          </w:tcPr>
          <w:p w:rsidR="00CC29BA" w:rsidRPr="00D5304E" w:rsidRDefault="00CC29BA"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w:t>
            </w:r>
          </w:p>
        </w:tc>
        <w:tc>
          <w:tcPr>
            <w:tcW w:w="1596" w:type="dxa"/>
          </w:tcPr>
          <w:p w:rsidR="00CC29BA" w:rsidRPr="00D5304E" w:rsidRDefault="0005173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4.5</w:t>
            </w:r>
          </w:p>
        </w:tc>
        <w:tc>
          <w:tcPr>
            <w:tcW w:w="1596" w:type="dxa"/>
          </w:tcPr>
          <w:p w:rsidR="00CC29BA" w:rsidRPr="00D5304E" w:rsidRDefault="0005173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10.9</w:t>
            </w:r>
          </w:p>
        </w:tc>
        <w:tc>
          <w:tcPr>
            <w:tcW w:w="1596" w:type="dxa"/>
          </w:tcPr>
          <w:p w:rsidR="00CC29BA" w:rsidRPr="00D5304E" w:rsidRDefault="0005173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11.9</w:t>
            </w:r>
          </w:p>
        </w:tc>
        <w:tc>
          <w:tcPr>
            <w:tcW w:w="1596" w:type="dxa"/>
          </w:tcPr>
          <w:p w:rsidR="00CC29BA" w:rsidRPr="00D5304E" w:rsidRDefault="00051734" w:rsidP="00D5304E">
            <w:pPr>
              <w:spacing w:line="480" w:lineRule="auto"/>
              <w:rPr>
                <w:rFonts w:ascii="Times New Roman" w:hAnsi="Times New Roman" w:cs="Times New Roman"/>
                <w:sz w:val="24"/>
                <w:szCs w:val="24"/>
              </w:rPr>
            </w:pPr>
            <w:r w:rsidRPr="00D5304E">
              <w:rPr>
                <w:rFonts w:ascii="Times New Roman" w:hAnsi="Times New Roman" w:cs="Times New Roman"/>
                <w:sz w:val="24"/>
                <w:szCs w:val="24"/>
              </w:rPr>
              <w:t xml:space="preserve">-19.6 </w:t>
            </w:r>
          </w:p>
        </w:tc>
      </w:tr>
    </w:tbl>
    <w:p w:rsidR="008F6BE9" w:rsidRPr="00D5304E" w:rsidRDefault="008F6BE9" w:rsidP="00D5304E">
      <w:pPr>
        <w:spacing w:line="480" w:lineRule="auto"/>
        <w:rPr>
          <w:rFonts w:ascii="Times New Roman" w:hAnsi="Times New Roman" w:cs="Times New Roman"/>
          <w:sz w:val="24"/>
          <w:szCs w:val="24"/>
        </w:rPr>
      </w:pPr>
    </w:p>
    <w:p w:rsidR="008F5078" w:rsidRPr="00BE5B7E" w:rsidRDefault="00BE0603" w:rsidP="00BE5B7E">
      <w:pPr>
        <w:spacing w:line="480" w:lineRule="auto"/>
        <w:rPr>
          <w:rFonts w:ascii="Times New Roman" w:hAnsi="Times New Roman" w:cs="Times New Roman"/>
          <w:sz w:val="24"/>
          <w:szCs w:val="24"/>
        </w:rPr>
      </w:pPr>
      <w:r>
        <w:rPr>
          <w:rFonts w:ascii="Times New Roman" w:hAnsi="Times New Roman" w:cs="Times New Roman"/>
          <w:sz w:val="24"/>
          <w:szCs w:val="24"/>
        </w:rPr>
        <w:t xml:space="preserve">Section 4: </w:t>
      </w:r>
      <w:r w:rsidR="00D04771" w:rsidRPr="00D5304E">
        <w:rPr>
          <w:rFonts w:ascii="Times New Roman" w:hAnsi="Times New Roman" w:cs="Times New Roman"/>
          <w:sz w:val="24"/>
          <w:szCs w:val="24"/>
        </w:rPr>
        <w:t>Analysis</w:t>
      </w:r>
      <w:r w:rsidR="006B434C">
        <w:rPr>
          <w:rFonts w:ascii="Times New Roman" w:hAnsi="Times New Roman" w:cs="Times New Roman"/>
          <w:sz w:val="24"/>
          <w:szCs w:val="24"/>
        </w:rPr>
        <w:t xml:space="preserve"> of B</w:t>
      </w:r>
      <w:r w:rsidR="00D04771" w:rsidRPr="00D5304E">
        <w:rPr>
          <w:rFonts w:ascii="Times New Roman" w:hAnsi="Times New Roman" w:cs="Times New Roman"/>
          <w:sz w:val="24"/>
          <w:szCs w:val="24"/>
        </w:rPr>
        <w:t>eta</w:t>
      </w:r>
    </w:p>
    <w:tbl>
      <w:tblPr>
        <w:tblW w:w="4220" w:type="dxa"/>
        <w:tblInd w:w="93" w:type="dxa"/>
        <w:tblLook w:val="04A0"/>
      </w:tblPr>
      <w:tblGrid>
        <w:gridCol w:w="696"/>
        <w:gridCol w:w="756"/>
        <w:gridCol w:w="1900"/>
        <w:gridCol w:w="960"/>
      </w:tblGrid>
      <w:tr w:rsidR="001870C6" w:rsidRPr="001870C6" w:rsidTr="001870C6">
        <w:trPr>
          <w:trHeight w:val="300"/>
        </w:trPr>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Year</w:t>
            </w:r>
          </w:p>
        </w:tc>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EPS</w:t>
            </w:r>
          </w:p>
        </w:tc>
        <w:tc>
          <w:tcPr>
            <w:tcW w:w="190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Percentage change</w:t>
            </w:r>
          </w:p>
        </w:tc>
        <w:tc>
          <w:tcPr>
            <w:tcW w:w="96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ASX 100</w:t>
            </w:r>
          </w:p>
        </w:tc>
      </w:tr>
      <w:tr w:rsidR="001870C6" w:rsidRPr="001870C6" w:rsidTr="001870C6">
        <w:trPr>
          <w:trHeight w:val="300"/>
        </w:trPr>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2011</w:t>
            </w:r>
          </w:p>
        </w:tc>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84.5</w:t>
            </w:r>
          </w:p>
        </w:tc>
        <w:tc>
          <w:tcPr>
            <w:tcW w:w="190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-2.89%</w:t>
            </w:r>
          </w:p>
        </w:tc>
      </w:tr>
      <w:tr w:rsidR="001870C6" w:rsidRPr="001870C6" w:rsidTr="001870C6">
        <w:trPr>
          <w:trHeight w:val="300"/>
        </w:trPr>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2012</w:t>
            </w:r>
          </w:p>
        </w:tc>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54.1</w:t>
            </w:r>
          </w:p>
        </w:tc>
        <w:tc>
          <w:tcPr>
            <w:tcW w:w="190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-35.97633136</w:t>
            </w:r>
          </w:p>
        </w:tc>
        <w:tc>
          <w:tcPr>
            <w:tcW w:w="96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-2.89%</w:t>
            </w:r>
          </w:p>
        </w:tc>
      </w:tr>
      <w:tr w:rsidR="001870C6" w:rsidRPr="001870C6" w:rsidTr="001870C6">
        <w:trPr>
          <w:trHeight w:val="300"/>
        </w:trPr>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2013</w:t>
            </w:r>
          </w:p>
        </w:tc>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53.1</w:t>
            </w:r>
          </w:p>
        </w:tc>
        <w:tc>
          <w:tcPr>
            <w:tcW w:w="190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-1.848428835</w:t>
            </w:r>
          </w:p>
        </w:tc>
        <w:tc>
          <w:tcPr>
            <w:tcW w:w="96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-2.89%</w:t>
            </w:r>
          </w:p>
        </w:tc>
      </w:tr>
      <w:tr w:rsidR="001870C6" w:rsidRPr="001870C6" w:rsidTr="001870C6">
        <w:trPr>
          <w:trHeight w:val="300"/>
        </w:trPr>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2014</w:t>
            </w:r>
          </w:p>
        </w:tc>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-95.6</w:t>
            </w:r>
          </w:p>
        </w:tc>
        <w:tc>
          <w:tcPr>
            <w:tcW w:w="190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280.0376648</w:t>
            </w:r>
          </w:p>
        </w:tc>
        <w:tc>
          <w:tcPr>
            <w:tcW w:w="96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-2.89%</w:t>
            </w:r>
          </w:p>
        </w:tc>
      </w:tr>
      <w:tr w:rsidR="001870C6" w:rsidRPr="001870C6" w:rsidTr="001870C6">
        <w:trPr>
          <w:trHeight w:val="300"/>
        </w:trPr>
        <w:tc>
          <w:tcPr>
            <w:tcW w:w="680" w:type="dxa"/>
            <w:tcBorders>
              <w:top w:val="nil"/>
              <w:left w:val="nil"/>
              <w:bottom w:val="nil"/>
              <w:right w:val="nil"/>
            </w:tcBorders>
            <w:shd w:val="clear" w:color="auto" w:fill="auto"/>
            <w:noWrap/>
            <w:vAlign w:val="bottom"/>
            <w:hideMark/>
          </w:tcPr>
          <w:p w:rsidR="001870C6" w:rsidRPr="001870C6" w:rsidRDefault="001870C6" w:rsidP="00C86CC8">
            <w:pPr>
              <w:spacing w:after="0" w:line="480" w:lineRule="auto"/>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2015</w:t>
            </w:r>
          </w:p>
        </w:tc>
        <w:tc>
          <w:tcPr>
            <w:tcW w:w="68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234.2</w:t>
            </w:r>
          </w:p>
        </w:tc>
        <w:tc>
          <w:tcPr>
            <w:tcW w:w="190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144.9790795</w:t>
            </w:r>
          </w:p>
        </w:tc>
        <w:tc>
          <w:tcPr>
            <w:tcW w:w="960" w:type="dxa"/>
            <w:tcBorders>
              <w:top w:val="nil"/>
              <w:left w:val="nil"/>
              <w:bottom w:val="nil"/>
              <w:right w:val="nil"/>
            </w:tcBorders>
            <w:shd w:val="clear" w:color="auto" w:fill="auto"/>
            <w:noWrap/>
            <w:vAlign w:val="bottom"/>
            <w:hideMark/>
          </w:tcPr>
          <w:p w:rsidR="001870C6" w:rsidRPr="001870C6" w:rsidRDefault="001870C6" w:rsidP="00BE5B7E">
            <w:pPr>
              <w:spacing w:after="0" w:line="480" w:lineRule="auto"/>
              <w:jc w:val="center"/>
              <w:rPr>
                <w:rFonts w:ascii="Times New Roman" w:eastAsia="Times New Roman" w:hAnsi="Times New Roman" w:cs="Times New Roman"/>
                <w:color w:val="000000"/>
                <w:sz w:val="24"/>
                <w:szCs w:val="24"/>
              </w:rPr>
            </w:pPr>
            <w:r w:rsidRPr="001870C6">
              <w:rPr>
                <w:rFonts w:ascii="Times New Roman" w:eastAsia="Times New Roman" w:hAnsi="Times New Roman" w:cs="Times New Roman"/>
                <w:color w:val="000000"/>
                <w:sz w:val="24"/>
                <w:szCs w:val="24"/>
              </w:rPr>
              <w:t>-2.89%</w:t>
            </w:r>
          </w:p>
        </w:tc>
      </w:tr>
    </w:tbl>
    <w:p w:rsidR="001870C6" w:rsidRPr="00D5304E" w:rsidRDefault="001870C6" w:rsidP="00C86C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company’s trend does not align with the energy industry trend. </w:t>
      </w:r>
      <w:r w:rsidR="00974E50">
        <w:rPr>
          <w:rFonts w:ascii="Times New Roman" w:hAnsi="Times New Roman" w:cs="Times New Roman"/>
          <w:sz w:val="24"/>
          <w:szCs w:val="24"/>
        </w:rPr>
        <w:t xml:space="preserve">The energy industry </w:t>
      </w:r>
      <w:r w:rsidR="00C86CC8">
        <w:rPr>
          <w:rFonts w:ascii="Times New Roman" w:hAnsi="Times New Roman" w:cs="Times New Roman"/>
          <w:sz w:val="24"/>
          <w:szCs w:val="24"/>
        </w:rPr>
        <w:t xml:space="preserve">has </w:t>
      </w:r>
      <w:r w:rsidR="00974E50">
        <w:rPr>
          <w:rFonts w:ascii="Times New Roman" w:hAnsi="Times New Roman" w:cs="Times New Roman"/>
          <w:sz w:val="24"/>
          <w:szCs w:val="24"/>
        </w:rPr>
        <w:t xml:space="preserve">-2.89 for annual returns. Comparing the </w:t>
      </w:r>
      <w:r w:rsidR="00BE5B7E">
        <w:rPr>
          <w:rFonts w:ascii="Times New Roman" w:hAnsi="Times New Roman" w:cs="Times New Roman"/>
          <w:sz w:val="24"/>
          <w:szCs w:val="24"/>
        </w:rPr>
        <w:t xml:space="preserve">EPS of the shares from year to year reflects no consistency in the reduction of the earnings </w:t>
      </w:r>
      <w:r w:rsidR="00C86CC8">
        <w:rPr>
          <w:rFonts w:ascii="Times New Roman" w:hAnsi="Times New Roman" w:cs="Times New Roman"/>
          <w:sz w:val="24"/>
          <w:szCs w:val="24"/>
        </w:rPr>
        <w:t>p</w:t>
      </w:r>
      <w:r w:rsidR="00BE5B7E">
        <w:rPr>
          <w:rFonts w:ascii="Times New Roman" w:hAnsi="Times New Roman" w:cs="Times New Roman"/>
          <w:sz w:val="24"/>
          <w:szCs w:val="24"/>
        </w:rPr>
        <w:t xml:space="preserve">er share. </w:t>
      </w:r>
    </w:p>
    <w:p w:rsidR="008A4A9D" w:rsidRDefault="009F28DC" w:rsidP="00D5304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Section</w:t>
      </w:r>
      <w:r w:rsidR="00BE0603">
        <w:rPr>
          <w:rFonts w:ascii="Times New Roman" w:hAnsi="Times New Roman" w:cs="Times New Roman"/>
          <w:sz w:val="24"/>
          <w:szCs w:val="24"/>
        </w:rPr>
        <w:t xml:space="preserve"> 4: </w:t>
      </w:r>
      <w:r w:rsidR="00D04771" w:rsidRPr="00D5304E">
        <w:rPr>
          <w:rFonts w:ascii="Times New Roman" w:hAnsi="Times New Roman" w:cs="Times New Roman"/>
          <w:sz w:val="24"/>
          <w:szCs w:val="24"/>
        </w:rPr>
        <w:t>Pro</w:t>
      </w:r>
      <w:r w:rsidR="00C86CC8" w:rsidRPr="00D5304E">
        <w:rPr>
          <w:rFonts w:ascii="Times New Roman" w:hAnsi="Times New Roman" w:cs="Times New Roman"/>
          <w:sz w:val="24"/>
          <w:szCs w:val="24"/>
        </w:rPr>
        <w:t>-Form</w:t>
      </w:r>
      <w:r w:rsidR="00C86CC8">
        <w:rPr>
          <w:rFonts w:ascii="Times New Roman" w:hAnsi="Times New Roman" w:cs="Times New Roman"/>
          <w:sz w:val="24"/>
          <w:szCs w:val="24"/>
        </w:rPr>
        <w:t>a Financial Statements a</w:t>
      </w:r>
      <w:r w:rsidR="00C86CC8" w:rsidRPr="00D5304E">
        <w:rPr>
          <w:rFonts w:ascii="Times New Roman" w:hAnsi="Times New Roman" w:cs="Times New Roman"/>
          <w:sz w:val="24"/>
          <w:szCs w:val="24"/>
        </w:rPr>
        <w:t xml:space="preserve">nd Valuation </w:t>
      </w:r>
      <w:r w:rsidR="00C86CC8">
        <w:rPr>
          <w:rFonts w:ascii="Times New Roman" w:hAnsi="Times New Roman" w:cs="Times New Roman"/>
          <w:sz w:val="24"/>
          <w:szCs w:val="24"/>
        </w:rPr>
        <w:t>(</w:t>
      </w:r>
      <w:r w:rsidR="00206B29">
        <w:rPr>
          <w:rFonts w:ascii="Times New Roman" w:hAnsi="Times New Roman" w:cs="Times New Roman"/>
          <w:sz w:val="24"/>
          <w:szCs w:val="24"/>
        </w:rPr>
        <w:t>Excel</w:t>
      </w:r>
      <w:r w:rsidR="00C86CC8">
        <w:rPr>
          <w:rFonts w:ascii="Times New Roman" w:hAnsi="Times New Roman" w:cs="Times New Roman"/>
          <w:sz w:val="24"/>
          <w:szCs w:val="24"/>
        </w:rPr>
        <w:t>)</w:t>
      </w: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BE0603" w:rsidRDefault="00BE0603" w:rsidP="008A4A9D">
      <w:pPr>
        <w:spacing w:line="480" w:lineRule="auto"/>
        <w:jc w:val="center"/>
        <w:rPr>
          <w:rFonts w:ascii="Times New Roman" w:hAnsi="Times New Roman" w:cs="Times New Roman"/>
          <w:sz w:val="24"/>
          <w:szCs w:val="24"/>
        </w:rPr>
      </w:pPr>
    </w:p>
    <w:p w:rsidR="00132C56" w:rsidRPr="00D5304E" w:rsidRDefault="00132C56" w:rsidP="008A4A9D">
      <w:pPr>
        <w:spacing w:line="480" w:lineRule="auto"/>
        <w:jc w:val="center"/>
        <w:rPr>
          <w:rFonts w:ascii="Times New Roman" w:hAnsi="Times New Roman" w:cs="Times New Roman"/>
          <w:sz w:val="24"/>
          <w:szCs w:val="24"/>
        </w:rPr>
      </w:pPr>
      <w:r w:rsidRPr="00D5304E">
        <w:rPr>
          <w:rFonts w:ascii="Times New Roman" w:hAnsi="Times New Roman" w:cs="Times New Roman"/>
          <w:sz w:val="24"/>
          <w:szCs w:val="24"/>
        </w:rPr>
        <w:lastRenderedPageBreak/>
        <w:t>References</w:t>
      </w:r>
    </w:p>
    <w:p w:rsidR="00EC4893" w:rsidRDefault="00EC4893" w:rsidP="00D5304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Morningstar.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DatAnalysis</w:t>
      </w:r>
      <w:proofErr w:type="spellEnd"/>
      <w:r>
        <w:rPr>
          <w:rFonts w:ascii="Times New Roman" w:hAnsi="Times New Roman" w:cs="Times New Roman"/>
          <w:sz w:val="24"/>
          <w:szCs w:val="24"/>
        </w:rPr>
        <w:t xml:space="preserve"> premium</w:t>
      </w:r>
      <w:r w:rsidR="00A53BC0">
        <w:rPr>
          <w:rFonts w:ascii="Times New Roman" w:hAnsi="Times New Roman" w:cs="Times New Roman"/>
          <w:sz w:val="24"/>
          <w:szCs w:val="24"/>
        </w:rPr>
        <w:t xml:space="preserve">: Santos Limited. Accessed on October 22, 2016 from, </w:t>
      </w:r>
    </w:p>
    <w:p w:rsidR="009B4322" w:rsidRDefault="00106732" w:rsidP="00D5304E">
      <w:pPr>
        <w:spacing w:line="480" w:lineRule="auto"/>
        <w:rPr>
          <w:rFonts w:ascii="Times New Roman" w:hAnsi="Times New Roman" w:cs="Times New Roman"/>
          <w:sz w:val="24"/>
          <w:szCs w:val="24"/>
        </w:rPr>
      </w:pPr>
      <w:hyperlink r:id="rId6" w:history="1">
        <w:r w:rsidRPr="00A65FB7">
          <w:rPr>
            <w:rStyle w:val="Hyperlink"/>
            <w:rFonts w:ascii="Times New Roman" w:hAnsi="Times New Roman" w:cs="Times New Roman"/>
            <w:sz w:val="24"/>
            <w:szCs w:val="24"/>
          </w:rPr>
          <w:t>http://datanalysis.morningstar.com.au.proxy.library.adelaide.edu.au/ftl/company/pershare?xtm-licensee=datpremium&amp;ASXCode=STO&amp;sy=2011-01-01&amp;ey=2016-12-31&amp;rt=A</w:t>
        </w:r>
      </w:hyperlink>
    </w:p>
    <w:p w:rsidR="00694706" w:rsidRDefault="002B32AD" w:rsidP="00D5304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Morningstar.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DatAnalysis</w:t>
      </w:r>
      <w:proofErr w:type="spellEnd"/>
      <w:r>
        <w:rPr>
          <w:rFonts w:ascii="Times New Roman" w:hAnsi="Times New Roman" w:cs="Times New Roman"/>
          <w:sz w:val="24"/>
          <w:szCs w:val="24"/>
        </w:rPr>
        <w:t xml:space="preserve"> premium: </w:t>
      </w:r>
      <w:r w:rsidR="00694706">
        <w:rPr>
          <w:rFonts w:ascii="Times New Roman" w:hAnsi="Times New Roman" w:cs="Times New Roman"/>
          <w:sz w:val="24"/>
          <w:szCs w:val="24"/>
        </w:rPr>
        <w:t>Crown Resorts Limited</w:t>
      </w:r>
      <w:r>
        <w:rPr>
          <w:rFonts w:ascii="Times New Roman" w:hAnsi="Times New Roman" w:cs="Times New Roman"/>
          <w:sz w:val="24"/>
          <w:szCs w:val="24"/>
        </w:rPr>
        <w:t xml:space="preserve">. Accessed on October 22, 2016 from, </w:t>
      </w:r>
      <w:hyperlink r:id="rId7" w:history="1">
        <w:r w:rsidR="00694706" w:rsidRPr="00A65FB7">
          <w:rPr>
            <w:rStyle w:val="Hyperlink"/>
            <w:rFonts w:ascii="Times New Roman" w:hAnsi="Times New Roman" w:cs="Times New Roman"/>
            <w:sz w:val="24"/>
            <w:szCs w:val="24"/>
          </w:rPr>
          <w:t>http://datanalysis.morningstar.com.au.proxy.library.adelaide.edu.au/ftl/company/profitloss?ASXCode=CWN&amp;rt=A&amp;sy=2013-01-01&amp;ey=2016-12-31&amp;xtm-licensee=datpremium</w:t>
        </w:r>
      </w:hyperlink>
    </w:p>
    <w:p w:rsidR="00AB551B" w:rsidRDefault="00AB551B" w:rsidP="00D5304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Morningstar.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DatAnalysis</w:t>
      </w:r>
      <w:proofErr w:type="spellEnd"/>
      <w:r>
        <w:rPr>
          <w:rFonts w:ascii="Times New Roman" w:hAnsi="Times New Roman" w:cs="Times New Roman"/>
          <w:sz w:val="24"/>
          <w:szCs w:val="24"/>
        </w:rPr>
        <w:t xml:space="preserve"> Premium: </w:t>
      </w:r>
      <w:r w:rsidR="002E0FF8">
        <w:rPr>
          <w:rFonts w:ascii="Times New Roman" w:hAnsi="Times New Roman" w:cs="Times New Roman"/>
          <w:sz w:val="24"/>
          <w:szCs w:val="24"/>
        </w:rPr>
        <w:t xml:space="preserve">Flight Centre Travel Group Limited. Accessed on October 22, 2016 from, </w:t>
      </w:r>
      <w:hyperlink r:id="rId8" w:history="1">
        <w:r w:rsidR="002E0FF8" w:rsidRPr="00A65FB7">
          <w:rPr>
            <w:rStyle w:val="Hyperlink"/>
            <w:rFonts w:ascii="Times New Roman" w:hAnsi="Times New Roman" w:cs="Times New Roman"/>
            <w:sz w:val="24"/>
            <w:szCs w:val="24"/>
          </w:rPr>
          <w:t>http://datanalysis.morningstar.com.au.proxy.library.adelaide.edu.au/ftl/company/profitloss?ASXCode=FLT&amp;rt=A&amp;sy=2013-01-01&amp;ey=2016-12-31&amp;xtm-licensee=datpremium</w:t>
        </w:r>
      </w:hyperlink>
    </w:p>
    <w:p w:rsidR="00694706" w:rsidRDefault="00DE6BA7" w:rsidP="00D5304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Morningstar.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DatAnalysis</w:t>
      </w:r>
      <w:proofErr w:type="spellEnd"/>
      <w:r>
        <w:rPr>
          <w:rFonts w:ascii="Times New Roman" w:hAnsi="Times New Roman" w:cs="Times New Roman"/>
          <w:sz w:val="24"/>
          <w:szCs w:val="24"/>
        </w:rPr>
        <w:t xml:space="preserve"> Premium</w:t>
      </w:r>
      <w:r w:rsidR="00C54DC3">
        <w:rPr>
          <w:rFonts w:ascii="Times New Roman" w:hAnsi="Times New Roman" w:cs="Times New Roman"/>
          <w:sz w:val="24"/>
          <w:szCs w:val="24"/>
        </w:rPr>
        <w:t>: The Star Entertainment Group Limited. Accessed on October 22, 2016 from</w:t>
      </w:r>
      <w:proofErr w:type="gramStart"/>
      <w:r w:rsidR="00C54DC3">
        <w:rPr>
          <w:rFonts w:ascii="Times New Roman" w:hAnsi="Times New Roman" w:cs="Times New Roman"/>
          <w:sz w:val="24"/>
          <w:szCs w:val="24"/>
        </w:rPr>
        <w:t xml:space="preserve">,  </w:t>
      </w:r>
      <w:proofErr w:type="gramEnd"/>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DE6BA7">
        <w:rPr>
          <w:rFonts w:ascii="Times New Roman" w:hAnsi="Times New Roman" w:cs="Times New Roman"/>
          <w:sz w:val="24"/>
          <w:szCs w:val="24"/>
        </w:rPr>
        <w:instrText>http://datanalysis.morningstar.com.au.proxy.library.adelaide.edu.au/ftl/company/profitloss?ASXCode=SGR&amp;rt=A&amp;sy=2013-01-01&amp;ey=2016-12-31&amp;xtm-licensee=datpremium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A65FB7">
        <w:rPr>
          <w:rStyle w:val="Hyperlink"/>
          <w:rFonts w:ascii="Times New Roman" w:hAnsi="Times New Roman" w:cs="Times New Roman"/>
          <w:sz w:val="24"/>
          <w:szCs w:val="24"/>
        </w:rPr>
        <w:t>http://datanalysis.morningstar.com.au.proxy.library.adelaide.edu.au/ftl/company/profitloss?ASXCode=SGR&amp;rt=A&amp;sy=2013-01-01&amp;ey=2016-12-31&amp;xtm-licensee=datpremium</w:t>
      </w:r>
      <w:r>
        <w:rPr>
          <w:rFonts w:ascii="Times New Roman" w:hAnsi="Times New Roman" w:cs="Times New Roman"/>
          <w:sz w:val="24"/>
          <w:szCs w:val="24"/>
        </w:rPr>
        <w:fldChar w:fldCharType="end"/>
      </w:r>
    </w:p>
    <w:p w:rsidR="008A4A9D" w:rsidRDefault="008A4A9D" w:rsidP="008A4A9D">
      <w:pPr>
        <w:spacing w:line="480" w:lineRule="auto"/>
        <w:rPr>
          <w:rFonts w:ascii="Times New Roman" w:hAnsi="Times New Roman" w:cs="Times New Roman"/>
          <w:sz w:val="24"/>
          <w:szCs w:val="24"/>
        </w:rPr>
      </w:pPr>
      <w:r>
        <w:rPr>
          <w:rFonts w:ascii="Times New Roman" w:hAnsi="Times New Roman" w:cs="Times New Roman"/>
          <w:sz w:val="24"/>
          <w:szCs w:val="24"/>
        </w:rPr>
        <w:t xml:space="preserve">S &amp; P/ </w:t>
      </w:r>
      <w:proofErr w:type="gramStart"/>
      <w:r>
        <w:rPr>
          <w:rFonts w:ascii="Times New Roman" w:hAnsi="Times New Roman" w:cs="Times New Roman"/>
          <w:sz w:val="24"/>
          <w:szCs w:val="24"/>
        </w:rPr>
        <w:t>ASX 100 Energy (</w:t>
      </w:r>
      <w:proofErr w:type="spellStart"/>
      <w:r>
        <w:rPr>
          <w:rFonts w:ascii="Times New Roman" w:hAnsi="Times New Roman" w:cs="Times New Roman"/>
          <w:sz w:val="24"/>
          <w:szCs w:val="24"/>
        </w:rPr>
        <w:t>Aud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Accessed on October 22, 2016 from, </w:t>
      </w:r>
      <w:hyperlink r:id="rId9" w:history="1">
        <w:r w:rsidRPr="00A65FB7">
          <w:rPr>
            <w:rStyle w:val="Hyperlink"/>
            <w:rFonts w:ascii="Times New Roman" w:hAnsi="Times New Roman" w:cs="Times New Roman"/>
            <w:sz w:val="24"/>
            <w:szCs w:val="24"/>
          </w:rPr>
          <w:t>http://au.spindices.com/indices/equity/sp-asx-100-energy-sector</w:t>
        </w:r>
      </w:hyperlink>
    </w:p>
    <w:p w:rsidR="00106732" w:rsidRPr="00D5304E" w:rsidRDefault="00106732" w:rsidP="00D5304E">
      <w:pPr>
        <w:spacing w:line="480" w:lineRule="auto"/>
        <w:rPr>
          <w:rFonts w:ascii="Times New Roman" w:hAnsi="Times New Roman" w:cs="Times New Roman"/>
          <w:sz w:val="24"/>
          <w:szCs w:val="24"/>
        </w:rPr>
      </w:pPr>
    </w:p>
    <w:sectPr w:rsidR="00106732" w:rsidRPr="00D5304E" w:rsidSect="00C54D14">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9BF" w:rsidRDefault="009E19BF" w:rsidP="0095397E">
      <w:pPr>
        <w:spacing w:after="0" w:line="240" w:lineRule="auto"/>
      </w:pPr>
      <w:r>
        <w:separator/>
      </w:r>
    </w:p>
  </w:endnote>
  <w:endnote w:type="continuationSeparator" w:id="0">
    <w:p w:rsidR="009E19BF" w:rsidRDefault="009E19BF" w:rsidP="00953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9BF" w:rsidRDefault="009E19BF" w:rsidP="0095397E">
      <w:pPr>
        <w:spacing w:after="0" w:line="240" w:lineRule="auto"/>
      </w:pPr>
      <w:r>
        <w:separator/>
      </w:r>
    </w:p>
  </w:footnote>
  <w:footnote w:type="continuationSeparator" w:id="0">
    <w:p w:rsidR="009E19BF" w:rsidRDefault="009E19BF" w:rsidP="009539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7E" w:rsidRPr="0095397E" w:rsidRDefault="00296A73" w:rsidP="0095397E">
    <w:pPr>
      <w:spacing w:line="480" w:lineRule="auto"/>
      <w:rPr>
        <w:rFonts w:ascii="Times New Roman" w:hAnsi="Times New Roman" w:cs="Times New Roman"/>
        <w:sz w:val="24"/>
        <w:szCs w:val="24"/>
      </w:rPr>
    </w:pPr>
    <w:r>
      <w:rPr>
        <w:rFonts w:ascii="Times New Roman" w:hAnsi="Times New Roman" w:cs="Times New Roman"/>
        <w:sz w:val="24"/>
        <w:szCs w:val="24"/>
      </w:rPr>
      <w:t>EQUITY EVALUATION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A73">
      <w:rPr>
        <w:rFonts w:ascii="Times New Roman" w:hAnsi="Times New Roman" w:cs="Times New Roman"/>
        <w:sz w:val="24"/>
        <w:szCs w:val="24"/>
      </w:rPr>
      <w:fldChar w:fldCharType="begin"/>
    </w:r>
    <w:r w:rsidRPr="00296A73">
      <w:rPr>
        <w:rFonts w:ascii="Times New Roman" w:hAnsi="Times New Roman" w:cs="Times New Roman"/>
        <w:sz w:val="24"/>
        <w:szCs w:val="24"/>
      </w:rPr>
      <w:instrText xml:space="preserve"> PAGE   \* MERGEFORMAT </w:instrText>
    </w:r>
    <w:r w:rsidRPr="00296A73">
      <w:rPr>
        <w:rFonts w:ascii="Times New Roman" w:hAnsi="Times New Roman" w:cs="Times New Roman"/>
        <w:sz w:val="24"/>
        <w:szCs w:val="24"/>
      </w:rPr>
      <w:fldChar w:fldCharType="separate"/>
    </w:r>
    <w:r w:rsidR="00DA2CF0">
      <w:rPr>
        <w:rFonts w:ascii="Times New Roman" w:hAnsi="Times New Roman" w:cs="Times New Roman"/>
        <w:noProof/>
        <w:sz w:val="24"/>
        <w:szCs w:val="24"/>
      </w:rPr>
      <w:t>9</w:t>
    </w:r>
    <w:r w:rsidRPr="00296A73">
      <w:rPr>
        <w:rFonts w:ascii="Times New Roman" w:hAnsi="Times New Roman" w:cs="Times New Roman"/>
        <w:sz w:val="24"/>
        <w:szCs w:val="24"/>
      </w:rPr>
      <w:fldChar w:fldCharType="end"/>
    </w:r>
  </w:p>
  <w:p w:rsidR="0095397E" w:rsidRDefault="009539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119B7"/>
    <w:rsid w:val="00000040"/>
    <w:rsid w:val="0001525A"/>
    <w:rsid w:val="000173F2"/>
    <w:rsid w:val="000315D7"/>
    <w:rsid w:val="000437F7"/>
    <w:rsid w:val="00051734"/>
    <w:rsid w:val="00082C0C"/>
    <w:rsid w:val="000966C1"/>
    <w:rsid w:val="00096C4B"/>
    <w:rsid w:val="000D37AC"/>
    <w:rsid w:val="000E6194"/>
    <w:rsid w:val="000E6695"/>
    <w:rsid w:val="000F0BE9"/>
    <w:rsid w:val="00106732"/>
    <w:rsid w:val="0010695C"/>
    <w:rsid w:val="00132C56"/>
    <w:rsid w:val="001407EA"/>
    <w:rsid w:val="00145E52"/>
    <w:rsid w:val="00174A3B"/>
    <w:rsid w:val="00180F8E"/>
    <w:rsid w:val="00181510"/>
    <w:rsid w:val="001870C6"/>
    <w:rsid w:val="001B2DF5"/>
    <w:rsid w:val="001E091A"/>
    <w:rsid w:val="00204B1C"/>
    <w:rsid w:val="00206B29"/>
    <w:rsid w:val="00211E25"/>
    <w:rsid w:val="002157DE"/>
    <w:rsid w:val="0023450E"/>
    <w:rsid w:val="002459B5"/>
    <w:rsid w:val="00250BBC"/>
    <w:rsid w:val="00254126"/>
    <w:rsid w:val="00264232"/>
    <w:rsid w:val="002701E9"/>
    <w:rsid w:val="00283482"/>
    <w:rsid w:val="00292481"/>
    <w:rsid w:val="00293DA3"/>
    <w:rsid w:val="00296A73"/>
    <w:rsid w:val="002B0031"/>
    <w:rsid w:val="002B32AD"/>
    <w:rsid w:val="002C2FF1"/>
    <w:rsid w:val="002C403C"/>
    <w:rsid w:val="002C4706"/>
    <w:rsid w:val="002E0FF8"/>
    <w:rsid w:val="002E11AD"/>
    <w:rsid w:val="003119B7"/>
    <w:rsid w:val="00344B50"/>
    <w:rsid w:val="00384823"/>
    <w:rsid w:val="00392EB1"/>
    <w:rsid w:val="003F2272"/>
    <w:rsid w:val="003F6350"/>
    <w:rsid w:val="00424E0D"/>
    <w:rsid w:val="00440C33"/>
    <w:rsid w:val="00477AE7"/>
    <w:rsid w:val="00490458"/>
    <w:rsid w:val="00496506"/>
    <w:rsid w:val="004A3E2F"/>
    <w:rsid w:val="004E637A"/>
    <w:rsid w:val="004F3B2E"/>
    <w:rsid w:val="004F7EE7"/>
    <w:rsid w:val="00504746"/>
    <w:rsid w:val="0050574D"/>
    <w:rsid w:val="0051094E"/>
    <w:rsid w:val="005139FF"/>
    <w:rsid w:val="0052398C"/>
    <w:rsid w:val="00526C70"/>
    <w:rsid w:val="00536ABA"/>
    <w:rsid w:val="005370B1"/>
    <w:rsid w:val="00544784"/>
    <w:rsid w:val="00553697"/>
    <w:rsid w:val="005546F7"/>
    <w:rsid w:val="005566F9"/>
    <w:rsid w:val="00563166"/>
    <w:rsid w:val="00585259"/>
    <w:rsid w:val="005A29DB"/>
    <w:rsid w:val="005B33A5"/>
    <w:rsid w:val="005D3BF0"/>
    <w:rsid w:val="005D6F33"/>
    <w:rsid w:val="00600ED6"/>
    <w:rsid w:val="00605E64"/>
    <w:rsid w:val="0061556A"/>
    <w:rsid w:val="00627EC2"/>
    <w:rsid w:val="00651789"/>
    <w:rsid w:val="00654894"/>
    <w:rsid w:val="0065608A"/>
    <w:rsid w:val="006562E9"/>
    <w:rsid w:val="00672259"/>
    <w:rsid w:val="00694706"/>
    <w:rsid w:val="006A01B0"/>
    <w:rsid w:val="006B434C"/>
    <w:rsid w:val="006B49D4"/>
    <w:rsid w:val="006B6B15"/>
    <w:rsid w:val="006D7D1F"/>
    <w:rsid w:val="006F6667"/>
    <w:rsid w:val="00707B95"/>
    <w:rsid w:val="00712F83"/>
    <w:rsid w:val="00724042"/>
    <w:rsid w:val="0075627B"/>
    <w:rsid w:val="007702A8"/>
    <w:rsid w:val="007877E7"/>
    <w:rsid w:val="007A00DB"/>
    <w:rsid w:val="007A5C04"/>
    <w:rsid w:val="007A7811"/>
    <w:rsid w:val="007B449B"/>
    <w:rsid w:val="007B4EE1"/>
    <w:rsid w:val="007B6B10"/>
    <w:rsid w:val="007C1E98"/>
    <w:rsid w:val="007E3645"/>
    <w:rsid w:val="007F377E"/>
    <w:rsid w:val="007F52DA"/>
    <w:rsid w:val="00805BF6"/>
    <w:rsid w:val="00811010"/>
    <w:rsid w:val="008468FC"/>
    <w:rsid w:val="00863272"/>
    <w:rsid w:val="0087602B"/>
    <w:rsid w:val="00894466"/>
    <w:rsid w:val="008A04C8"/>
    <w:rsid w:val="008A4A9D"/>
    <w:rsid w:val="008B7BDD"/>
    <w:rsid w:val="008E7FA1"/>
    <w:rsid w:val="008F5078"/>
    <w:rsid w:val="008F6BE9"/>
    <w:rsid w:val="00907752"/>
    <w:rsid w:val="00943789"/>
    <w:rsid w:val="00945511"/>
    <w:rsid w:val="0095397E"/>
    <w:rsid w:val="009553C4"/>
    <w:rsid w:val="0095634A"/>
    <w:rsid w:val="009704B8"/>
    <w:rsid w:val="009707A7"/>
    <w:rsid w:val="00974E50"/>
    <w:rsid w:val="00990C6C"/>
    <w:rsid w:val="009B4322"/>
    <w:rsid w:val="009E19BF"/>
    <w:rsid w:val="009F28DC"/>
    <w:rsid w:val="00A106DD"/>
    <w:rsid w:val="00A34C1D"/>
    <w:rsid w:val="00A46167"/>
    <w:rsid w:val="00A47BBA"/>
    <w:rsid w:val="00A53BC0"/>
    <w:rsid w:val="00A60984"/>
    <w:rsid w:val="00A619A3"/>
    <w:rsid w:val="00A67CB9"/>
    <w:rsid w:val="00A81096"/>
    <w:rsid w:val="00A9597D"/>
    <w:rsid w:val="00AA110E"/>
    <w:rsid w:val="00AA2B2F"/>
    <w:rsid w:val="00AB147E"/>
    <w:rsid w:val="00AB551B"/>
    <w:rsid w:val="00AE0785"/>
    <w:rsid w:val="00AF2D8A"/>
    <w:rsid w:val="00AF545D"/>
    <w:rsid w:val="00B05005"/>
    <w:rsid w:val="00B122FA"/>
    <w:rsid w:val="00B1611E"/>
    <w:rsid w:val="00B27204"/>
    <w:rsid w:val="00B34800"/>
    <w:rsid w:val="00B35A02"/>
    <w:rsid w:val="00B50537"/>
    <w:rsid w:val="00B50F43"/>
    <w:rsid w:val="00B7124C"/>
    <w:rsid w:val="00B74025"/>
    <w:rsid w:val="00B7750A"/>
    <w:rsid w:val="00B87CDB"/>
    <w:rsid w:val="00BA2953"/>
    <w:rsid w:val="00BD3CA0"/>
    <w:rsid w:val="00BE0603"/>
    <w:rsid w:val="00BE5B7E"/>
    <w:rsid w:val="00C07E22"/>
    <w:rsid w:val="00C34000"/>
    <w:rsid w:val="00C54023"/>
    <w:rsid w:val="00C54D14"/>
    <w:rsid w:val="00C54DC3"/>
    <w:rsid w:val="00C650B6"/>
    <w:rsid w:val="00C7790F"/>
    <w:rsid w:val="00C86CC8"/>
    <w:rsid w:val="00CA2C5D"/>
    <w:rsid w:val="00CB3DFF"/>
    <w:rsid w:val="00CC29BA"/>
    <w:rsid w:val="00CD181C"/>
    <w:rsid w:val="00CE119D"/>
    <w:rsid w:val="00CF6091"/>
    <w:rsid w:val="00D04771"/>
    <w:rsid w:val="00D13CC8"/>
    <w:rsid w:val="00D1658E"/>
    <w:rsid w:val="00D233D0"/>
    <w:rsid w:val="00D45698"/>
    <w:rsid w:val="00D502A3"/>
    <w:rsid w:val="00D5304E"/>
    <w:rsid w:val="00D6033C"/>
    <w:rsid w:val="00D8540E"/>
    <w:rsid w:val="00DA2CF0"/>
    <w:rsid w:val="00DB16D8"/>
    <w:rsid w:val="00DC0063"/>
    <w:rsid w:val="00DC15D3"/>
    <w:rsid w:val="00DD518A"/>
    <w:rsid w:val="00DE6BA7"/>
    <w:rsid w:val="00E11346"/>
    <w:rsid w:val="00E15F2A"/>
    <w:rsid w:val="00E468C9"/>
    <w:rsid w:val="00E51110"/>
    <w:rsid w:val="00E942C2"/>
    <w:rsid w:val="00E97E53"/>
    <w:rsid w:val="00EB7F69"/>
    <w:rsid w:val="00EC4893"/>
    <w:rsid w:val="00ED5CE0"/>
    <w:rsid w:val="00F1442F"/>
    <w:rsid w:val="00F20E96"/>
    <w:rsid w:val="00F638A7"/>
    <w:rsid w:val="00F8245B"/>
    <w:rsid w:val="00F94328"/>
    <w:rsid w:val="00FA0D11"/>
    <w:rsid w:val="00FA1457"/>
    <w:rsid w:val="00FB6F5B"/>
    <w:rsid w:val="00FB73CD"/>
    <w:rsid w:val="00FC1A6C"/>
    <w:rsid w:val="00FE19B0"/>
    <w:rsid w:val="00FF0B84"/>
    <w:rsid w:val="00FF3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4322"/>
    <w:rPr>
      <w:color w:val="0000FF" w:themeColor="hyperlink"/>
      <w:u w:val="single"/>
    </w:rPr>
  </w:style>
  <w:style w:type="paragraph" w:styleId="Header">
    <w:name w:val="header"/>
    <w:basedOn w:val="Normal"/>
    <w:link w:val="HeaderChar"/>
    <w:uiPriority w:val="99"/>
    <w:unhideWhenUsed/>
    <w:rsid w:val="00953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97E"/>
  </w:style>
  <w:style w:type="paragraph" w:styleId="Footer">
    <w:name w:val="footer"/>
    <w:basedOn w:val="Normal"/>
    <w:link w:val="FooterChar"/>
    <w:uiPriority w:val="99"/>
    <w:semiHidden/>
    <w:unhideWhenUsed/>
    <w:rsid w:val="009539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397E"/>
  </w:style>
  <w:style w:type="paragraph" w:styleId="BalloonText">
    <w:name w:val="Balloon Text"/>
    <w:basedOn w:val="Normal"/>
    <w:link w:val="BalloonTextChar"/>
    <w:uiPriority w:val="99"/>
    <w:semiHidden/>
    <w:unhideWhenUsed/>
    <w:rsid w:val="00953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9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7776515">
      <w:bodyDiv w:val="1"/>
      <w:marLeft w:val="0"/>
      <w:marRight w:val="0"/>
      <w:marTop w:val="0"/>
      <w:marBottom w:val="0"/>
      <w:divBdr>
        <w:top w:val="none" w:sz="0" w:space="0" w:color="auto"/>
        <w:left w:val="none" w:sz="0" w:space="0" w:color="auto"/>
        <w:bottom w:val="none" w:sz="0" w:space="0" w:color="auto"/>
        <w:right w:val="none" w:sz="0" w:space="0" w:color="auto"/>
      </w:divBdr>
    </w:div>
    <w:div w:id="18604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nalysis.morningstar.com.au.proxy.library.adelaide.edu.au/ftl/company/profitloss?ASXCode=FLT&amp;rt=A&amp;sy=2013-01-01&amp;ey=2016-12-31&amp;xtm-licensee=datpremium" TargetMode="External"/><Relationship Id="rId3" Type="http://schemas.openxmlformats.org/officeDocument/2006/relationships/webSettings" Target="webSettings.xml"/><Relationship Id="rId7" Type="http://schemas.openxmlformats.org/officeDocument/2006/relationships/hyperlink" Target="http://datanalysis.morningstar.com.au.proxy.library.adelaide.edu.au/ftl/company/profitloss?ASXCode=CWN&amp;rt=A&amp;sy=2013-01-01&amp;ey=2016-12-31&amp;xtm-licensee=datpremiu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tanalysis.morningstar.com.au.proxy.library.adelaide.edu.au/ftl/company/pershare?xtm-licensee=datpremium&amp;ASXCode=STO&amp;sy=2011-01-01&amp;ey=2016-12-31&amp;rt=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au.spindices.com/indices/equity/sp-asx-100-energy-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2387</TotalTime>
  <Pages>9</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2016-10-17T06:05:00Z</dcterms:created>
  <dcterms:modified xsi:type="dcterms:W3CDTF">2016-10-22T05:45:00Z</dcterms:modified>
</cp:coreProperties>
</file>