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Name of Student</w:t>
      </w:r>
    </w:p>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Name of Professor</w:t>
      </w:r>
    </w:p>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Course</w:t>
      </w:r>
    </w:p>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 xml:space="preserve">Date </w:t>
      </w:r>
    </w:p>
    <w:p w:rsidR="00F46CE8" w:rsidRPr="004C2257" w:rsidRDefault="00F46CE8" w:rsidP="00ED3032">
      <w:pPr>
        <w:spacing w:line="480" w:lineRule="auto"/>
        <w:contextualSpacing/>
        <w:jc w:val="center"/>
        <w:rPr>
          <w:rFonts w:ascii="Times New Roman" w:hAnsi="Times New Roman" w:cs="Times New Roman"/>
          <w:sz w:val="24"/>
          <w:szCs w:val="24"/>
        </w:rPr>
      </w:pPr>
      <w:r w:rsidRPr="004C2257">
        <w:rPr>
          <w:rFonts w:ascii="Times New Roman" w:hAnsi="Times New Roman" w:cs="Times New Roman"/>
          <w:sz w:val="24"/>
          <w:szCs w:val="24"/>
        </w:rPr>
        <w:t>Poverty and illiteracy in South Sudan</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South Sudan became the newest world member in July 2011 after a peacefully seceding from Sudan in January 2011 through a national referendum (The World Bank). However, Sudan has been faced with conflict for many decades and heightened instability (Hutchinson 308). After the secession, South Sudan is forced to start building its institutions from the lowest base, and the government’s capacity to formulate and implement policies is limited. However, regardless of the challenges, South Sudan is endowed with momentous oil wealth, which can be used by the country to propel development. However, two years after independence, conflict erupts in South Sudan and proceeds for nearly two years. The conflict hinders active development due to reduced GDP at 15% below the projected rate (The World Bank). Additionally, the country has witnessed an increase in military expenditure which in turn has led to reduced funding for service delivery programs and infrastructure. The constant conflict eruptions have displaced many people in South Sudan thus hindering access to education facilities. With people constantly on the move due to conflicts, they do not have time for school. Additionally, residents cannot involve themselves in any activities that can earn livelihoods leading to poverty.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The purpose of this research is to find out how poverty levels in the region have influenced women illiteracy. South Sudan is one of the poorest countries in the world, and this statement heightens the need to find out how this poverty is related to the high level of illiterate women in the region. </w:t>
      </w:r>
      <w:r w:rsidR="00C62A81">
        <w:rPr>
          <w:rFonts w:ascii="Times New Roman" w:hAnsi="Times New Roman" w:cs="Times New Roman"/>
          <w:sz w:val="24"/>
          <w:szCs w:val="24"/>
        </w:rPr>
        <w:t xml:space="preserve">It is imperative to find out whether education, based on the high illiteracy </w:t>
      </w:r>
      <w:r w:rsidR="00C62A81">
        <w:rPr>
          <w:rFonts w:ascii="Times New Roman" w:hAnsi="Times New Roman" w:cs="Times New Roman"/>
          <w:sz w:val="24"/>
          <w:szCs w:val="24"/>
        </w:rPr>
        <w:lastRenderedPageBreak/>
        <w:t>levels of women, is related to the poverty levels</w:t>
      </w:r>
      <w:r w:rsidR="009F6DB6">
        <w:rPr>
          <w:rFonts w:ascii="Times New Roman" w:hAnsi="Times New Roman" w:cs="Times New Roman"/>
          <w:sz w:val="24"/>
          <w:szCs w:val="24"/>
        </w:rPr>
        <w:t xml:space="preserve">, i.e. whether women are poor because they are illiterate. Additionally, it will also be imperative to understand whether the link between illiteracy and poverty applies to all people in South Sudan.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Significance of the study</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This research is significant because of the preliminary findings of the state of poverty and education in South Sudan. First, it emerged that South Sudan had more than one-third of the globe’s poorest people where women make the highest percentage. Secondly, a report published by Gallup World in 2013 asserted that South Sudan had the largest number of people living on less than $1.25 per day thus making it appear among the top-ten list of such countries (Phelps and Crabtree). It is also worth noting that the majority of these people living on less than $1.25 a day from South Sudan were women (Phelps and Crabtree).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Thirdly, it also emerged that almost one in three women living in South Sudan are illiterate. Fourth, nearly half of South Sudan’s population does not have access to learning institutions (UNICEF). Fifth, it emerged that women and children bore the biggest brunt of the constant wars that dog South Sudan and they are thus restrained by the conditions from accessing schools (UNICEF). Lastly, it emerged that there are various cultures in South Sudan and some of these do not perceive education in esteem. In most of these cultures, women education is not valued, and the cultures observe responsibilities which they believe are more important for women than education. Therefore, these factors heightened my desire to research on South Sudan and especially regarding poverty and women illiteracy. There was a heightened interest in research on how South Sudan, although endowed with natural resources such as oil, continue to have its citizens languish in poverty. This research is thus significant because it will provide </w:t>
      </w:r>
      <w:r w:rsidRPr="00372E66">
        <w:rPr>
          <w:rFonts w:ascii="Times New Roman" w:hAnsi="Times New Roman" w:cs="Times New Roman"/>
          <w:sz w:val="24"/>
          <w:szCs w:val="24"/>
        </w:rPr>
        <w:lastRenderedPageBreak/>
        <w:t xml:space="preserve">relevant and vital information about poverty levels and how women are involved concerning their heightened illiteracy levels.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Literature review</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To understand the plight of South Sudan, Sudan as a whole needs to be understood because it forms the genesis of the topic. This statement is based on the observation that South Sudan was once part of the greater Sudan and according to Sharkey (22-23); the problems ailing South Sudan have a genesis in Sudan. Sudan had been subjected to Arabization where Arab Nubians moved to Sudan from where they influenced the social state of the region (22). The movement of Arab Nubians led to the use of Arabic and its recognition as an intermediate language to be used in Sudan. After decolonization, it emerged that Arabization policies were employed and adopted in Sudan (Sharkey 28). Residents were expected to use the Arabic as the formal language. However, there were discords from other regions against the use of Arabic as the official national language. There are those that wanted the Arabic-English bilingual system. However, it is worth noting that there was a challenge in the use of the Arabic language in Sudan. There was a prolonged conflict between Arabs regarding what was termed as ‘Sudanese Arabs’ (Sharkey 27). During the time, in 1898, when British and Egyptian forces overthrew the Mahdist state, the ‘Sudanese Arab’ did not exist, in particular among the Muslim elites in the riverine region (Sharkey 28). The British and Egyptian forces established what came to be referred to as the Anglo-Egyptian Condominium (Willis 94). This condominium was the ‘partnership’ rule between Britain and Egypt, although Egypt did not have much influence (Heleta). To mask their real intentions, the British had to use the Egyptians to gain a positive reception as they entered Sudan, which constituted a majority Arab race. The British believed that by liaising with Egypt, it would be easier to penetrate Sudan than it would have been had </w:t>
      </w:r>
      <w:r w:rsidRPr="00372E66">
        <w:rPr>
          <w:rFonts w:ascii="Times New Roman" w:hAnsi="Times New Roman" w:cs="Times New Roman"/>
          <w:sz w:val="24"/>
          <w:szCs w:val="24"/>
        </w:rPr>
        <w:lastRenderedPageBreak/>
        <w:t xml:space="preserve">Britain decided to do it alone. It was believed that by having the Egyptians on board, resistance to the British regime would be significantly reduced. Then, being an Arab meant being Muslim and being Arab translated to freedom (Sharkey 29). This statement relies on the observation that Arabs were not considered as slaves and being an Arab connoted esteemed status. Therefore, being an Arab meant that one could enjoy an esteemed status due to their genealogical credentials. Interestingly, the British did not object to Islam in the Northern part of Sudan. On the contrary, the British administration appeared to encourage the growth and expansion of Islam and this further endeared them to the Arabs and contributed to the reduction of resistance from the Arabs (Heleta). The British ensured that the growth of Islam was attained by providing the necessary financial assistance for pilgrimage travels and construction of mosques (Heleta). Thus, the Arab North continued to enjoy development status from the British government, while the South continued to suffer. Because of this esteemed status, some Nubians believed that being Muslim would translate to being Arabic, and hence translate to freedom (Willis 97). However, this was a challenge to the genuine Arabs because according to their culture, a Sudanese translated to a sudani in Arabic. Sudani is a word derived from sud, the Arabic word denoting ‘black people’ (Sharkey 31-32). The term ‘Sudanese’ therefore, was associated with being black, which according to the Arabs translated to a low social status, unlike the esteemed social status enjoyed by Arabs (Sharkey 29). Since Arabs were not considered as slaves, being identified as a ‘Sud’ meant that such a person had a diminished social status and could even serve as a slave (29). Since the Northern part of Sudan majorly constituted of Arabs, they always felt they enjoyed an esteemed social status than the ‘sud’ people from the Southern part of Sudan. Interestingly, when the British colonialists took over Sudan, they decided to conserve much of this stratification (Sharkey 29). Although the British decided to abolish the slave trade, they did </w:t>
      </w:r>
      <w:r w:rsidRPr="00372E66">
        <w:rPr>
          <w:rFonts w:ascii="Times New Roman" w:hAnsi="Times New Roman" w:cs="Times New Roman"/>
          <w:sz w:val="24"/>
          <w:szCs w:val="24"/>
        </w:rPr>
        <w:lastRenderedPageBreak/>
        <w:t xml:space="preserve">not endorse egalitarianism. The slave trade existed whereby the Arabs contracted the northern tribes to raid and get slaves from the ‘black’ South (Heleta).  Rather than endorse egalitarianism, the British decided to respect and buttress local rank hierarchies through education policies. This strategy meant that the Northern part of Sudan remained highly stratified with its respective internal peripheries.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The British thus favored the Arabs for their elevated status in society by allowing the males to access education which would provide future access to administrative jobs (Sharkey 29). This procedure allowed the British to co-opt the Arabs into the regime and hence reduce resistance to the British rule. According to Williams (90), it was believed that the elite educated Arabs had reduced chances of resisting the regime compared to the ‘black’ ethnic Sudanese. Since the Arabs were perceived to belong to an elevated social status, they were also seen to be better placed to acquire education and join the British in the official circles to promote leadership ideologies. The British wanted to believe that they could work with a community that already had elevated status or that was perceived to have an elevated status among other groups of diminished social statuses. However, people seen to be descendants of slaves (those termed as ‘Sudanese’ due to their black color and ethnicity), were not allowed to access education. On the contrary, they were only deemed fit for the army and manual job careers (Sharkey 29). The British colonialists, under the Condominium rule, continued to generate the fundamental political and executive structures in North Sudan. There was the consolidation of the Closed Districts Ordinances of 1920 by the promulgation of the Passports and Permits Ordinance in 1922, which required that passports and permits were to be used by any traveler trying to shuttle between North and South Sudan. The British were determined to make South Sudan a separate country from the North, and they even established English as the official language in the South.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lastRenderedPageBreak/>
        <w:t xml:space="preserve">Moreover, these efforts were geared to assist North Sudan in warming up towards self rule, and this is explained by the enactment of the North Sudan Advisory Council Ordinance in 1943 (Teny-Dhurgon).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However, instead of the British establishing similar advisory councils that would lead to the self-autonomy of the South similar to what was being set up in the North, the British had other ideas. It emerged that through North Sudan, the British continued to ensure that the South could not attain similar development levels as observed in the North. In addition to the prohibition of Arabic speaking in the South, the southern communities were encouraged to continue clinging to tribal outfits. This policy entailed the use of tribal units with organization and structure founded upon indigenous traditions, customs, and beliefs (Pimentel 14). It was agreed that these units were to be completely separated from the rest of the nation. The British continued to hold the perception that the South was not ready for self-governance. Thus, it was considered that the South was better off being run by indigenous tribal chiefs (Pimentel 15). Then, it was decided by Administrative Conference in Khartoum, that North Sudan should colonize South Sudan (Teny-Dhurgon). However, it is worth noting that the people of South Sudan were not consulted during</w:t>
      </w:r>
      <w:r w:rsidR="00FD498C">
        <w:rPr>
          <w:rFonts w:ascii="Times New Roman" w:hAnsi="Times New Roman" w:cs="Times New Roman"/>
          <w:sz w:val="24"/>
          <w:szCs w:val="24"/>
        </w:rPr>
        <w:t xml:space="preserve"> this decision-making procedure</w:t>
      </w:r>
      <w:r w:rsidRPr="00372E66">
        <w:rPr>
          <w:rFonts w:ascii="Times New Roman" w:hAnsi="Times New Roman" w:cs="Times New Roman"/>
          <w:sz w:val="24"/>
          <w:szCs w:val="24"/>
        </w:rPr>
        <w:t xml:space="preserve"> and they were not represented during the conference. It was believed that the British allowed the North region to colonize South Sudan as a way to repay the North for their assistance during the Second World War (Heleta). </w:t>
      </w:r>
    </w:p>
    <w:p w:rsidR="00372E66" w:rsidRPr="00372E66" w:rsidRDefault="00372E66" w:rsidP="00372E66">
      <w:pPr>
        <w:spacing w:line="480" w:lineRule="auto"/>
        <w:ind w:firstLine="720"/>
        <w:contextualSpacing/>
        <w:rPr>
          <w:rFonts w:ascii="Times New Roman" w:hAnsi="Times New Roman" w:cs="Times New Roman"/>
          <w:sz w:val="24"/>
          <w:szCs w:val="24"/>
        </w:rPr>
      </w:pP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After the colonization of the South by the North, mistrusts continued because the North continued to hold their biased perceptions about the South and its inhabitants (Hutchinson 322). The Arabs from the North continued to perceive the South as slaves due to their black nature (Teny-Dhurgon). The Arabs from the north continued to exert political and social </w:t>
      </w:r>
      <w:r w:rsidRPr="00372E66">
        <w:rPr>
          <w:rFonts w:ascii="Times New Roman" w:hAnsi="Times New Roman" w:cs="Times New Roman"/>
          <w:sz w:val="24"/>
          <w:szCs w:val="24"/>
        </w:rPr>
        <w:lastRenderedPageBreak/>
        <w:t xml:space="preserve">marginalization of the South Sudanese people, because just like the British; they also did not perceive the South Sudanese as equal residents. The South Sudanese people feared they would have no future because of the calculated marginalization by the North Sudanese (Jalata 93-94). Eventually, these concerns led to conflicts. Sharkey (35) asserts that the North continued with the Arabization policies where even Christian students were expected to attend Qur’an studies, failure to which they were expelled. Therefore, to the South Sudanese, this was too much, and confrontations continued to emerge between the South and the North (Jalata 93). For many years, the South could not get the desired economic developments it desired (Teny-Dhurgon). Its people could not achieve the desired education because of the different nature of Islamization as propagated by the Arabs.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Additionally, the fact that the colonialists promoted the tribal unit structures in South Sudan continues to haunt the country. Furthermore, even after its attainment of independence after seceding from the expansive North Sudan, South Sudan continues to suffer from poverty and underdevelopment.  Some tribes believe they are better equipped to run the country, especially the natural resources, than others (Switzer). These tribal competitions have contributed to the continued degradation of South Sudan concerning development (Pimentel 16). Even with a running government, some tribes believe they are still marginalized, and they demand equal representation in politics, health, education, and natural resources sectors. These continued fighting for resources, and better representations mean that there is limited time for development (Pimentel 9). The residents in South Sudan have restricted access to education because the Arabs did not see the need for developing schools as is the case in the Northern part of Sudan. Duffield (84) asserts that with the increased conflicts, many residents are in constant displacement. Whenever fights erupt, the community is displaced and has to seek haven in </w:t>
      </w:r>
      <w:r w:rsidRPr="00372E66">
        <w:rPr>
          <w:rFonts w:ascii="Times New Roman" w:hAnsi="Times New Roman" w:cs="Times New Roman"/>
          <w:sz w:val="24"/>
          <w:szCs w:val="24"/>
        </w:rPr>
        <w:lastRenderedPageBreak/>
        <w:t xml:space="preserve">regions that do not conform to the allowed humanitarian conditions. On many occasions, the displaced people have to spend numerous days and nights in the open without food, water, or even access to shelter.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Moreover, these people do not have access to health facilities and assistance. Governments, on their parts, are biased in the sharing of resources in this region (Pimentel 9). Pimentel (14-16) asserts that governments are formed on tribal lines, and there are perceptions that some communities do not deserve development based on their language and in some cases, relationship with the Arabs from the north. UNICEF also avers that many of the communities continue dwelling in ignorance and would rather carry out their cultural activities rather than attend schools. However, the primary driver of conflicts is the perception of inequality among the various tribes in South Sudan. The community got used to the running of affairs using the tribal units as established by the British governments (Willis 248).  Since there were no policies in South Sudan to prepare the community to embrace political ideologies that were based on equality and accountability in the running of resources, tribal outfits continued demanding shares of the country’s resources without specific plans of how to run them for the benefit of the majority of the residents.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Most notably, there is the tribal role given to men to act as the protectors of their community. This tribal responsibility has seen people take up arms in anticipation of protecting their communities and what they believe are the critical resources for use by their community (Arnold 490-491). These weapons are used when these communities attack each other in their fight for resources. Since men are typically involved in the conflicts, as rebel groups, they have their ways of accessing food and shelter; most notably through raids. In contrast, women’s chances of acquiring similar resources are limited (Abusharaf 61). Therefore, whenever there are </w:t>
      </w:r>
      <w:r w:rsidRPr="00372E66">
        <w:rPr>
          <w:rFonts w:ascii="Times New Roman" w:hAnsi="Times New Roman" w:cs="Times New Roman"/>
          <w:sz w:val="24"/>
          <w:szCs w:val="24"/>
        </w:rPr>
        <w:lastRenderedPageBreak/>
        <w:t>conflicts, women have to escape with their children in search of secure havens, which in most cases take them far away from learning institutions (Abusharaf 61-62).  This development means that women are most of the time the victims because they are the ones left with the children while men engage in rebel groups.</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 It is also worth noting that due to the limited development in South Sudan at the hands of the Arabs and the British, the number of education facilities and sufficient resources for their management is limited. Notably, there is also the issue of tribes and culture, whereby women education is not highly valued. Without valuing of women education, these women cannot access education services further hindering their economic development (Brown 20). The inability to access quality education means that the women do not gain vital knowledge concerning additional important matters such as birth control. It emerges that many women in South Sudan have many children which they cannot take care of because of their poor conditions. Lack of proper education hinders the ability of these women to understand the effect of having many children than their capacity to take care of them. Bearing in mind that these women are displaced during conflicts and that they do not have sources of income; they continue suffering in poverty. </w:t>
      </w:r>
    </w:p>
    <w:p w:rsidR="007466B3" w:rsidRPr="004C2257" w:rsidRDefault="007466B3" w:rsidP="002172D7">
      <w:pPr>
        <w:spacing w:line="480" w:lineRule="auto"/>
        <w:contextualSpacing/>
        <w:rPr>
          <w:rFonts w:ascii="Times New Roman" w:hAnsi="Times New Roman" w:cs="Times New Roman"/>
          <w:sz w:val="24"/>
          <w:szCs w:val="24"/>
        </w:rPr>
      </w:pPr>
    </w:p>
    <w:p w:rsidR="00497017" w:rsidRDefault="00497017" w:rsidP="00947155">
      <w:pPr>
        <w:spacing w:line="480" w:lineRule="auto"/>
        <w:ind w:firstLine="720"/>
        <w:contextualSpacing/>
        <w:jc w:val="center"/>
        <w:rPr>
          <w:rFonts w:ascii="Times New Roman" w:hAnsi="Times New Roman" w:cs="Times New Roman"/>
          <w:sz w:val="24"/>
          <w:szCs w:val="24"/>
        </w:rPr>
      </w:pPr>
    </w:p>
    <w:p w:rsidR="00497017" w:rsidRDefault="00497017" w:rsidP="00947155">
      <w:pPr>
        <w:spacing w:line="480" w:lineRule="auto"/>
        <w:ind w:firstLine="720"/>
        <w:contextualSpacing/>
        <w:jc w:val="center"/>
        <w:rPr>
          <w:rFonts w:ascii="Times New Roman" w:hAnsi="Times New Roman" w:cs="Times New Roman"/>
          <w:sz w:val="24"/>
          <w:szCs w:val="24"/>
        </w:rPr>
      </w:pPr>
    </w:p>
    <w:p w:rsidR="00497017" w:rsidRDefault="00497017" w:rsidP="00947155">
      <w:pPr>
        <w:spacing w:line="480" w:lineRule="auto"/>
        <w:ind w:firstLine="720"/>
        <w:contextualSpacing/>
        <w:jc w:val="center"/>
        <w:rPr>
          <w:rFonts w:ascii="Times New Roman" w:hAnsi="Times New Roman" w:cs="Times New Roman"/>
          <w:sz w:val="24"/>
          <w:szCs w:val="24"/>
        </w:rPr>
      </w:pPr>
    </w:p>
    <w:p w:rsidR="00497017" w:rsidRDefault="00497017" w:rsidP="00947155">
      <w:pPr>
        <w:spacing w:line="480" w:lineRule="auto"/>
        <w:ind w:firstLine="720"/>
        <w:contextualSpacing/>
        <w:jc w:val="center"/>
        <w:rPr>
          <w:rFonts w:ascii="Times New Roman" w:hAnsi="Times New Roman" w:cs="Times New Roman"/>
          <w:sz w:val="24"/>
          <w:szCs w:val="24"/>
        </w:rPr>
      </w:pPr>
    </w:p>
    <w:p w:rsidR="00497017" w:rsidRDefault="00497017" w:rsidP="00947155">
      <w:pPr>
        <w:spacing w:line="480" w:lineRule="auto"/>
        <w:ind w:firstLine="720"/>
        <w:contextualSpacing/>
        <w:jc w:val="center"/>
        <w:rPr>
          <w:rFonts w:ascii="Times New Roman" w:hAnsi="Times New Roman" w:cs="Times New Roman"/>
          <w:sz w:val="24"/>
          <w:szCs w:val="24"/>
        </w:rPr>
      </w:pPr>
    </w:p>
    <w:p w:rsidR="00497017" w:rsidRDefault="00497017" w:rsidP="00947155">
      <w:pPr>
        <w:spacing w:line="480" w:lineRule="auto"/>
        <w:ind w:firstLine="720"/>
        <w:contextualSpacing/>
        <w:jc w:val="center"/>
        <w:rPr>
          <w:rFonts w:ascii="Times New Roman" w:hAnsi="Times New Roman" w:cs="Times New Roman"/>
          <w:sz w:val="24"/>
          <w:szCs w:val="24"/>
        </w:rPr>
      </w:pPr>
    </w:p>
    <w:p w:rsidR="00497017" w:rsidRDefault="00497017" w:rsidP="00947155">
      <w:pPr>
        <w:spacing w:line="480" w:lineRule="auto"/>
        <w:ind w:firstLine="720"/>
        <w:contextualSpacing/>
        <w:jc w:val="center"/>
        <w:rPr>
          <w:rFonts w:ascii="Times New Roman" w:hAnsi="Times New Roman" w:cs="Times New Roman"/>
          <w:sz w:val="24"/>
          <w:szCs w:val="24"/>
        </w:rPr>
      </w:pPr>
    </w:p>
    <w:p w:rsidR="006A04FA" w:rsidRPr="004C2257" w:rsidRDefault="00D044C8" w:rsidP="00947155">
      <w:pPr>
        <w:spacing w:line="480" w:lineRule="auto"/>
        <w:ind w:firstLine="720"/>
        <w:contextualSpacing/>
        <w:jc w:val="center"/>
        <w:rPr>
          <w:rFonts w:ascii="Times New Roman" w:hAnsi="Times New Roman" w:cs="Times New Roman"/>
          <w:sz w:val="24"/>
          <w:szCs w:val="24"/>
        </w:rPr>
      </w:pPr>
      <w:r w:rsidRPr="004C2257">
        <w:rPr>
          <w:rFonts w:ascii="Times New Roman" w:hAnsi="Times New Roman" w:cs="Times New Roman"/>
          <w:sz w:val="24"/>
          <w:szCs w:val="24"/>
        </w:rPr>
        <w:lastRenderedPageBreak/>
        <w:t>Works Cited</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Abusharaf, Rogaia M. “Competing masculinities: Probing political disputes as acts of violence against women from Southern Sudan and Darfur.” </w:t>
      </w:r>
      <w:r w:rsidRPr="004C2257">
        <w:rPr>
          <w:rFonts w:ascii="Times New Roman" w:hAnsi="Times New Roman" w:cs="Times New Roman"/>
          <w:i/>
          <w:sz w:val="24"/>
          <w:szCs w:val="24"/>
        </w:rPr>
        <w:t xml:space="preserve">Human Rights Review, </w:t>
      </w:r>
      <w:r w:rsidRPr="004C2257">
        <w:rPr>
          <w:rFonts w:ascii="Times New Roman" w:hAnsi="Times New Roman" w:cs="Times New Roman"/>
          <w:sz w:val="24"/>
          <w:szCs w:val="24"/>
        </w:rPr>
        <w:t>vol. 7, no. 2, pp. 59-74.</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Arnold, Matthew B. “The South Sudan defence force: Patriots, collaborators or spoilers?” </w:t>
      </w:r>
      <w:r w:rsidRPr="004C2257">
        <w:rPr>
          <w:rFonts w:ascii="Times New Roman" w:hAnsi="Times New Roman" w:cs="Times New Roman"/>
          <w:i/>
          <w:sz w:val="24"/>
          <w:szCs w:val="24"/>
        </w:rPr>
        <w:t xml:space="preserve">The Journal of Modern African Studies, </w:t>
      </w:r>
      <w:r w:rsidRPr="004C2257">
        <w:rPr>
          <w:rFonts w:ascii="Times New Roman" w:hAnsi="Times New Roman" w:cs="Times New Roman"/>
          <w:sz w:val="24"/>
          <w:szCs w:val="24"/>
        </w:rPr>
        <w:t>vol. 45, no. 4, pp. 489-516.</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Brown, Tim. “South Sudan education emergency.” </w:t>
      </w:r>
      <w:r w:rsidRPr="004C2257">
        <w:rPr>
          <w:rFonts w:ascii="Times New Roman" w:hAnsi="Times New Roman" w:cs="Times New Roman"/>
          <w:i/>
          <w:sz w:val="24"/>
          <w:szCs w:val="24"/>
        </w:rPr>
        <w:t xml:space="preserve">FRM Education Supplement, </w:t>
      </w:r>
      <w:r w:rsidRPr="004C2257">
        <w:rPr>
          <w:rFonts w:ascii="Times New Roman" w:hAnsi="Times New Roman" w:cs="Times New Roman"/>
          <w:sz w:val="24"/>
          <w:szCs w:val="24"/>
        </w:rPr>
        <w:t>pp. 20-21.</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Duffield, Mark. “Aid and complicity: The case of war-displaced Southerners in the Northern Sudan.” </w:t>
      </w:r>
      <w:r w:rsidRPr="004C2257">
        <w:rPr>
          <w:rFonts w:ascii="Times New Roman" w:hAnsi="Times New Roman" w:cs="Times New Roman"/>
          <w:i/>
          <w:sz w:val="24"/>
          <w:szCs w:val="24"/>
        </w:rPr>
        <w:t xml:space="preserve">The Journal of Modern African Studies, </w:t>
      </w:r>
      <w:r w:rsidRPr="004C2257">
        <w:rPr>
          <w:rFonts w:ascii="Times New Roman" w:hAnsi="Times New Roman" w:cs="Times New Roman"/>
          <w:sz w:val="24"/>
          <w:szCs w:val="24"/>
        </w:rPr>
        <w:t>vol. 40, no. 1, pp. 83-104.</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Heleta, Savo. </w:t>
      </w:r>
      <w:r w:rsidRPr="004C2257">
        <w:rPr>
          <w:rFonts w:ascii="Times New Roman" w:hAnsi="Times New Roman" w:cs="Times New Roman"/>
          <w:i/>
          <w:sz w:val="24"/>
          <w:szCs w:val="24"/>
        </w:rPr>
        <w:t>Roots of Sudanese conflict are in the British colonial policies</w:t>
      </w:r>
      <w:r w:rsidRPr="004C2257">
        <w:rPr>
          <w:rFonts w:ascii="Times New Roman" w:hAnsi="Times New Roman" w:cs="Times New Roman"/>
          <w:sz w:val="24"/>
          <w:szCs w:val="24"/>
        </w:rPr>
        <w:t xml:space="preserve">. Sudan Tribune, 13 January 2008, </w:t>
      </w:r>
      <w:hyperlink r:id="rId7" w:history="1">
        <w:r w:rsidRPr="004C2257">
          <w:rPr>
            <w:rStyle w:val="Hyperlink"/>
            <w:rFonts w:ascii="Times New Roman" w:hAnsi="Times New Roman" w:cs="Times New Roman"/>
            <w:color w:val="auto"/>
            <w:sz w:val="24"/>
            <w:szCs w:val="24"/>
          </w:rPr>
          <w:t>http://www.sudantribune.com/Roots-of-Sudanese-conflict-are-in,25558</w:t>
        </w:r>
      </w:hyperlink>
      <w:r w:rsidRPr="004C2257">
        <w:rPr>
          <w:rFonts w:ascii="Times New Roman" w:hAnsi="Times New Roman" w:cs="Times New Roman"/>
          <w:sz w:val="24"/>
          <w:szCs w:val="24"/>
        </w:rPr>
        <w:t>. Accessed 24 Oct. 2016.</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Hutchinson, Sharon E. “A curse from God? Religious and political dimensions of the post-1991 rise of ethnic violence in South Sudan.” </w:t>
      </w:r>
      <w:r w:rsidRPr="004C2257">
        <w:rPr>
          <w:rFonts w:ascii="Times New Roman" w:hAnsi="Times New Roman" w:cs="Times New Roman"/>
          <w:i/>
          <w:sz w:val="24"/>
          <w:szCs w:val="24"/>
        </w:rPr>
        <w:t xml:space="preserve">The Journal of Modern African Studies, </w:t>
      </w:r>
      <w:r w:rsidRPr="004C2257">
        <w:rPr>
          <w:rFonts w:ascii="Times New Roman" w:hAnsi="Times New Roman" w:cs="Times New Roman"/>
          <w:sz w:val="24"/>
          <w:szCs w:val="24"/>
        </w:rPr>
        <w:t>vol. 39, no. 2, pp. 307-331.</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Jalata, Asafa. “State terrorism and globalization: The cases of Ethiopia and Sudan.” </w:t>
      </w:r>
      <w:r w:rsidRPr="004C2257">
        <w:rPr>
          <w:rFonts w:ascii="Times New Roman" w:hAnsi="Times New Roman" w:cs="Times New Roman"/>
          <w:i/>
          <w:sz w:val="24"/>
          <w:szCs w:val="24"/>
        </w:rPr>
        <w:t>International Journal of Comparative Sociology</w:t>
      </w:r>
      <w:r w:rsidRPr="004C2257">
        <w:rPr>
          <w:rFonts w:ascii="Times New Roman" w:hAnsi="Times New Roman" w:cs="Times New Roman"/>
          <w:sz w:val="24"/>
          <w:szCs w:val="24"/>
        </w:rPr>
        <w:t>, vol. 46, no. 1-2, 2005, pp. 79-102.</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Phelps, Glenn, and Steve Crabtree. </w:t>
      </w:r>
      <w:r w:rsidRPr="004C2257">
        <w:rPr>
          <w:rFonts w:ascii="Times New Roman" w:hAnsi="Times New Roman" w:cs="Times New Roman"/>
          <w:i/>
          <w:sz w:val="24"/>
          <w:szCs w:val="24"/>
        </w:rPr>
        <w:t>More than one in five worldwide living in extreme poverty</w:t>
      </w:r>
      <w:r w:rsidRPr="004C2257">
        <w:rPr>
          <w:rFonts w:ascii="Times New Roman" w:hAnsi="Times New Roman" w:cs="Times New Roman"/>
          <w:sz w:val="24"/>
          <w:szCs w:val="24"/>
        </w:rPr>
        <w:t xml:space="preserve">. Gallup, 23 Dec. 2013, </w:t>
      </w:r>
      <w:hyperlink r:id="rId8" w:history="1">
        <w:r w:rsidRPr="004C2257">
          <w:rPr>
            <w:rStyle w:val="Hyperlink"/>
            <w:rFonts w:ascii="Times New Roman" w:hAnsi="Times New Roman" w:cs="Times New Roman"/>
            <w:color w:val="auto"/>
            <w:sz w:val="24"/>
            <w:szCs w:val="24"/>
          </w:rPr>
          <w:t>http://www.gallup.com/poll/166565/one-five-worldwide-living-extreme-poverty.aspx</w:t>
        </w:r>
        <w:r w:rsidRPr="004C2257">
          <w:rPr>
            <w:rStyle w:val="Hyperlink"/>
            <w:rFonts w:ascii="Times New Roman" w:hAnsi="Times New Roman" w:cs="Times New Roman"/>
            <w:color w:val="auto"/>
            <w:sz w:val="24"/>
            <w:szCs w:val="24"/>
            <w:u w:val="none"/>
          </w:rPr>
          <w:t>. 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Pimentel, David. “Rule of law reform without cultural imperialism? Reinforcing customary justice through collateral review in Southern Sudan.” </w:t>
      </w:r>
      <w:r w:rsidRPr="004C2257">
        <w:rPr>
          <w:rFonts w:ascii="Times New Roman" w:hAnsi="Times New Roman" w:cs="Times New Roman"/>
          <w:i/>
          <w:sz w:val="24"/>
          <w:szCs w:val="24"/>
        </w:rPr>
        <w:t xml:space="preserve">Hague Journal on the Rule of Law, </w:t>
      </w:r>
      <w:r w:rsidRPr="004C2257">
        <w:rPr>
          <w:rFonts w:ascii="Times New Roman" w:hAnsi="Times New Roman" w:cs="Times New Roman"/>
          <w:sz w:val="24"/>
          <w:szCs w:val="24"/>
        </w:rPr>
        <w:t>vol. 2, no. 1, 2010, pp. 1-28.</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lastRenderedPageBreak/>
        <w:t xml:space="preserve">Sharkey, Heather J. “Arab identity and ideology in Sudan: The politics of language, ethnicity, and race.” </w:t>
      </w:r>
      <w:r w:rsidRPr="004C2257">
        <w:rPr>
          <w:rFonts w:ascii="Times New Roman" w:hAnsi="Times New Roman" w:cs="Times New Roman"/>
          <w:i/>
          <w:sz w:val="24"/>
          <w:szCs w:val="24"/>
        </w:rPr>
        <w:t>African Affairs</w:t>
      </w:r>
      <w:r w:rsidRPr="004C2257">
        <w:rPr>
          <w:rFonts w:ascii="Times New Roman" w:hAnsi="Times New Roman" w:cs="Times New Roman"/>
          <w:sz w:val="24"/>
          <w:szCs w:val="24"/>
        </w:rPr>
        <w:t>, vol. 15, no. 426, 2008, pp. 21-43.</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Sharkey, Heather. “Language and conflict: The political history of Arabisation in Sudan and Algeria.” </w:t>
      </w:r>
      <w:r w:rsidRPr="004C2257">
        <w:rPr>
          <w:rFonts w:ascii="Times New Roman" w:hAnsi="Times New Roman" w:cs="Times New Roman"/>
          <w:i/>
          <w:sz w:val="24"/>
          <w:szCs w:val="24"/>
        </w:rPr>
        <w:t>Studies in Ethnicity and Nationalism</w:t>
      </w:r>
      <w:r w:rsidRPr="004C2257">
        <w:rPr>
          <w:rFonts w:ascii="Times New Roman" w:hAnsi="Times New Roman" w:cs="Times New Roman"/>
          <w:sz w:val="24"/>
          <w:szCs w:val="24"/>
        </w:rPr>
        <w:t>, vol. 12, no. 3, 2012, pp. 427-449.</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Switzer, Jason. </w:t>
      </w:r>
      <w:r w:rsidRPr="004C2257">
        <w:rPr>
          <w:rFonts w:ascii="Times New Roman" w:hAnsi="Times New Roman" w:cs="Times New Roman"/>
          <w:i/>
          <w:sz w:val="24"/>
          <w:szCs w:val="24"/>
        </w:rPr>
        <w:t>Oil and violence in Sudan</w:t>
      </w:r>
      <w:r w:rsidRPr="004C2257">
        <w:rPr>
          <w:rFonts w:ascii="Times New Roman" w:hAnsi="Times New Roman" w:cs="Times New Roman"/>
          <w:sz w:val="24"/>
          <w:szCs w:val="24"/>
        </w:rPr>
        <w:t xml:space="preserve">. International Institution for Sustainable Development &amp; IUCN-World Conservation Union Commission on Environmental, Economic and Social Policy, 2002, </w:t>
      </w:r>
      <w:hyperlink r:id="rId9" w:history="1">
        <w:r w:rsidRPr="004C2257">
          <w:rPr>
            <w:rStyle w:val="Hyperlink"/>
            <w:rFonts w:ascii="Times New Roman" w:hAnsi="Times New Roman" w:cs="Times New Roman"/>
            <w:color w:val="auto"/>
            <w:sz w:val="24"/>
            <w:szCs w:val="24"/>
          </w:rPr>
          <w:t>https://www.iisd.org/pdf/2002/envsec_oil_violence.pdf</w:t>
        </w:r>
        <w:r w:rsidRPr="004C2257">
          <w:rPr>
            <w:rStyle w:val="Hyperlink"/>
            <w:rFonts w:ascii="Times New Roman" w:hAnsi="Times New Roman" w:cs="Times New Roman"/>
            <w:color w:val="auto"/>
            <w:sz w:val="24"/>
            <w:szCs w:val="24"/>
            <w:u w:val="none"/>
          </w:rPr>
          <w:t>. Accessed 24</w:t>
        </w:r>
        <w:r w:rsidRPr="004C2257">
          <w:rPr>
            <w:rStyle w:val="Hyperlink"/>
            <w:rFonts w:ascii="Times New Roman" w:hAnsi="Times New Roman" w:cs="Times New Roman"/>
            <w:color w:val="auto"/>
            <w:sz w:val="24"/>
            <w:szCs w:val="24"/>
          </w:rPr>
          <w:t xml:space="preserve"> </w:t>
        </w:r>
        <w:r w:rsidRPr="004C2257">
          <w:rPr>
            <w:rStyle w:val="Hyperlink"/>
            <w:rFonts w:ascii="Times New Roman" w:hAnsi="Times New Roman" w:cs="Times New Roman"/>
            <w:color w:val="auto"/>
            <w:sz w:val="24"/>
            <w:szCs w:val="24"/>
            <w:u w:val="none"/>
          </w:rPr>
          <w:t>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Teny-Dhurgon, Riek M. </w:t>
      </w:r>
      <w:r w:rsidRPr="004C2257">
        <w:rPr>
          <w:rFonts w:ascii="Times New Roman" w:hAnsi="Times New Roman" w:cs="Times New Roman"/>
          <w:i/>
          <w:sz w:val="24"/>
          <w:szCs w:val="24"/>
        </w:rPr>
        <w:t>South Sudan: A history of political domination-A case of self-determination</w:t>
      </w:r>
      <w:r w:rsidRPr="004C2257">
        <w:rPr>
          <w:rFonts w:ascii="Times New Roman" w:hAnsi="Times New Roman" w:cs="Times New Roman"/>
          <w:sz w:val="24"/>
          <w:szCs w:val="24"/>
        </w:rPr>
        <w:t xml:space="preserve">. University of Pennsylvania-African Studies Center, 1995, </w:t>
      </w:r>
      <w:hyperlink r:id="rId10" w:history="1">
        <w:r w:rsidRPr="004C2257">
          <w:rPr>
            <w:rStyle w:val="Hyperlink"/>
            <w:rFonts w:ascii="Times New Roman" w:hAnsi="Times New Roman" w:cs="Times New Roman"/>
            <w:color w:val="auto"/>
            <w:sz w:val="24"/>
            <w:szCs w:val="24"/>
          </w:rPr>
          <w:t xml:space="preserve">http://www.africa.upenn.edu/Hornet/sd_machar.html.  </w:t>
        </w:r>
        <w:r w:rsidRPr="004C2257">
          <w:rPr>
            <w:rStyle w:val="Hyperlink"/>
            <w:rFonts w:ascii="Times New Roman" w:hAnsi="Times New Roman" w:cs="Times New Roman"/>
            <w:color w:val="auto"/>
            <w:sz w:val="24"/>
            <w:szCs w:val="24"/>
            <w:u w:val="none"/>
          </w:rPr>
          <w:t>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The World Bank. </w:t>
      </w:r>
      <w:r w:rsidRPr="004C2257">
        <w:rPr>
          <w:rFonts w:ascii="Times New Roman" w:hAnsi="Times New Roman" w:cs="Times New Roman"/>
          <w:i/>
          <w:sz w:val="24"/>
          <w:szCs w:val="24"/>
        </w:rPr>
        <w:t>Economic overview</w:t>
      </w:r>
      <w:r w:rsidRPr="004C2257">
        <w:rPr>
          <w:rFonts w:ascii="Times New Roman" w:hAnsi="Times New Roman" w:cs="Times New Roman"/>
          <w:sz w:val="24"/>
          <w:szCs w:val="24"/>
        </w:rPr>
        <w:t xml:space="preserve">. The World Bank, April 9 2016, </w:t>
      </w:r>
      <w:hyperlink r:id="rId11" w:history="1">
        <w:r w:rsidR="00C430CC" w:rsidRPr="004C2257">
          <w:rPr>
            <w:rStyle w:val="Hyperlink"/>
            <w:rFonts w:ascii="Times New Roman" w:hAnsi="Times New Roman" w:cs="Times New Roman"/>
            <w:color w:val="auto"/>
            <w:sz w:val="24"/>
            <w:szCs w:val="24"/>
          </w:rPr>
          <w:t>http://www.worldbank.org/en/country/southsudan/overview.  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UNICEF. </w:t>
      </w:r>
      <w:r w:rsidRPr="004C2257">
        <w:rPr>
          <w:rFonts w:ascii="Times New Roman" w:hAnsi="Times New Roman" w:cs="Times New Roman"/>
          <w:i/>
          <w:sz w:val="24"/>
          <w:szCs w:val="24"/>
        </w:rPr>
        <w:t>South Sudan</w:t>
      </w:r>
      <w:r w:rsidRPr="004C2257">
        <w:rPr>
          <w:rFonts w:ascii="Times New Roman" w:hAnsi="Times New Roman" w:cs="Times New Roman"/>
          <w:sz w:val="24"/>
          <w:szCs w:val="24"/>
        </w:rPr>
        <w:t xml:space="preserve">. UNICEF, 2008, </w:t>
      </w:r>
      <w:hyperlink r:id="rId12" w:history="1">
        <w:r w:rsidR="00D65478" w:rsidRPr="004C2257">
          <w:rPr>
            <w:rStyle w:val="Hyperlink"/>
            <w:rFonts w:ascii="Times New Roman" w:hAnsi="Times New Roman" w:cs="Times New Roman"/>
            <w:color w:val="auto"/>
            <w:sz w:val="24"/>
            <w:szCs w:val="24"/>
          </w:rPr>
          <w:t xml:space="preserve">http://www.unicef.org/southsudan/education.html. </w:t>
        </w:r>
        <w:r w:rsidR="00D65478" w:rsidRPr="004C2257">
          <w:rPr>
            <w:rStyle w:val="Hyperlink"/>
            <w:rFonts w:ascii="Times New Roman" w:hAnsi="Times New Roman" w:cs="Times New Roman"/>
            <w:color w:val="auto"/>
            <w:sz w:val="24"/>
            <w:szCs w:val="24"/>
            <w:u w:val="none"/>
          </w:rPr>
          <w:t>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Willis, Justin. “Tribal gatherings: colonial spectacle, naïve administration and local government in Condominium Sudan.” </w:t>
      </w:r>
      <w:r w:rsidRPr="004C2257">
        <w:rPr>
          <w:rFonts w:ascii="Times New Roman" w:hAnsi="Times New Roman" w:cs="Times New Roman"/>
          <w:i/>
          <w:sz w:val="24"/>
          <w:szCs w:val="24"/>
        </w:rPr>
        <w:t>Past Present</w:t>
      </w:r>
      <w:r w:rsidRPr="004C2257">
        <w:rPr>
          <w:rFonts w:ascii="Times New Roman" w:hAnsi="Times New Roman" w:cs="Times New Roman"/>
          <w:sz w:val="24"/>
          <w:szCs w:val="24"/>
        </w:rPr>
        <w:t>, vol. 211, no. 1, pp. 243-268.</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Willis, Justin. “Violence, authority, and the state in the Nuba mountains of condominium Sudan.” </w:t>
      </w:r>
      <w:r w:rsidRPr="004C2257">
        <w:rPr>
          <w:rFonts w:ascii="Times New Roman" w:hAnsi="Times New Roman" w:cs="Times New Roman"/>
          <w:i/>
          <w:sz w:val="24"/>
          <w:szCs w:val="24"/>
        </w:rPr>
        <w:t xml:space="preserve">The Historical Journal, </w:t>
      </w:r>
      <w:r w:rsidRPr="004C2257">
        <w:rPr>
          <w:rFonts w:ascii="Times New Roman" w:hAnsi="Times New Roman" w:cs="Times New Roman"/>
          <w:sz w:val="24"/>
          <w:szCs w:val="24"/>
        </w:rPr>
        <w:t>vol. 46, no. 1, 2003, p. 89-114.</w:t>
      </w:r>
    </w:p>
    <w:p w:rsidR="00A724F1" w:rsidRPr="004C2257" w:rsidRDefault="00A724F1" w:rsidP="00972DE6">
      <w:pPr>
        <w:spacing w:line="480" w:lineRule="auto"/>
        <w:ind w:left="720" w:hanging="720"/>
        <w:contextualSpacing/>
        <w:rPr>
          <w:rFonts w:ascii="Times New Roman" w:hAnsi="Times New Roman" w:cs="Times New Roman"/>
          <w:sz w:val="24"/>
          <w:szCs w:val="24"/>
        </w:rPr>
      </w:pPr>
    </w:p>
    <w:p w:rsidR="003363CC" w:rsidRPr="004C2257" w:rsidRDefault="003363CC" w:rsidP="00972DE6">
      <w:pPr>
        <w:spacing w:line="480" w:lineRule="auto"/>
        <w:ind w:left="720" w:hanging="720"/>
        <w:contextualSpacing/>
        <w:rPr>
          <w:rFonts w:ascii="Times New Roman" w:hAnsi="Times New Roman" w:cs="Times New Roman"/>
          <w:sz w:val="24"/>
          <w:szCs w:val="24"/>
        </w:rPr>
      </w:pPr>
    </w:p>
    <w:p w:rsidR="00E71F0A" w:rsidRPr="004C2257" w:rsidRDefault="00E71F0A" w:rsidP="00972DE6">
      <w:pPr>
        <w:spacing w:line="480" w:lineRule="auto"/>
        <w:ind w:left="720" w:hanging="720"/>
        <w:contextualSpacing/>
        <w:rPr>
          <w:rFonts w:ascii="Times New Roman" w:hAnsi="Times New Roman" w:cs="Times New Roman"/>
          <w:sz w:val="24"/>
          <w:szCs w:val="24"/>
        </w:rPr>
      </w:pPr>
    </w:p>
    <w:p w:rsidR="004625F2" w:rsidRPr="004C2257" w:rsidRDefault="004625F2" w:rsidP="00D708FB">
      <w:pPr>
        <w:spacing w:line="480" w:lineRule="auto"/>
        <w:contextualSpacing/>
        <w:rPr>
          <w:rFonts w:ascii="Times New Roman" w:hAnsi="Times New Roman" w:cs="Times New Roman"/>
          <w:sz w:val="24"/>
          <w:szCs w:val="24"/>
        </w:rPr>
      </w:pPr>
    </w:p>
    <w:sectPr w:rsidR="004625F2" w:rsidRPr="004C2257" w:rsidSect="002A242C">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58B" w:rsidRDefault="0098458B" w:rsidP="001872E6">
      <w:pPr>
        <w:spacing w:after="0" w:line="240" w:lineRule="auto"/>
      </w:pPr>
      <w:r>
        <w:separator/>
      </w:r>
    </w:p>
  </w:endnote>
  <w:endnote w:type="continuationSeparator" w:id="1">
    <w:p w:rsidR="0098458B" w:rsidRDefault="0098458B" w:rsidP="00187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58B" w:rsidRDefault="0098458B" w:rsidP="001872E6">
      <w:pPr>
        <w:spacing w:after="0" w:line="240" w:lineRule="auto"/>
      </w:pPr>
      <w:r>
        <w:separator/>
      </w:r>
    </w:p>
  </w:footnote>
  <w:footnote w:type="continuationSeparator" w:id="1">
    <w:p w:rsidR="0098458B" w:rsidRDefault="0098458B" w:rsidP="001872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292889"/>
      <w:docPartObj>
        <w:docPartGallery w:val="Page Numbers (Top of Page)"/>
        <w:docPartUnique/>
      </w:docPartObj>
    </w:sdtPr>
    <w:sdtContent>
      <w:p w:rsidR="0098458B" w:rsidRPr="001872E6" w:rsidRDefault="0098458B" w:rsidP="001872E6">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1872E6">
          <w:rPr>
            <w:rFonts w:ascii="Times New Roman" w:hAnsi="Times New Roman" w:cs="Times New Roman"/>
            <w:sz w:val="24"/>
            <w:szCs w:val="24"/>
          </w:rPr>
          <w:t xml:space="preserve">Surname           </w:t>
        </w:r>
        <w:r w:rsidR="00C35E53" w:rsidRPr="001872E6">
          <w:rPr>
            <w:rFonts w:ascii="Times New Roman" w:hAnsi="Times New Roman" w:cs="Times New Roman"/>
            <w:sz w:val="24"/>
            <w:szCs w:val="24"/>
          </w:rPr>
          <w:fldChar w:fldCharType="begin"/>
        </w:r>
        <w:r w:rsidRPr="001872E6">
          <w:rPr>
            <w:rFonts w:ascii="Times New Roman" w:hAnsi="Times New Roman" w:cs="Times New Roman"/>
            <w:sz w:val="24"/>
            <w:szCs w:val="24"/>
          </w:rPr>
          <w:instrText xml:space="preserve"> PAGE   \* MERGEFORMAT </w:instrText>
        </w:r>
        <w:r w:rsidR="00C35E53" w:rsidRPr="001872E6">
          <w:rPr>
            <w:rFonts w:ascii="Times New Roman" w:hAnsi="Times New Roman" w:cs="Times New Roman"/>
            <w:sz w:val="24"/>
            <w:szCs w:val="24"/>
          </w:rPr>
          <w:fldChar w:fldCharType="separate"/>
        </w:r>
        <w:r w:rsidR="00FD0811">
          <w:rPr>
            <w:rFonts w:ascii="Times New Roman" w:hAnsi="Times New Roman" w:cs="Times New Roman"/>
            <w:noProof/>
            <w:sz w:val="24"/>
            <w:szCs w:val="24"/>
          </w:rPr>
          <w:t>1</w:t>
        </w:r>
        <w:r w:rsidR="00C35E53" w:rsidRPr="001872E6">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E002E"/>
    <w:multiLevelType w:val="hybridMultilevel"/>
    <w:tmpl w:val="2730B4E8"/>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
    <w:nsid w:val="57D662A4"/>
    <w:multiLevelType w:val="hybridMultilevel"/>
    <w:tmpl w:val="FFD6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E61FC"/>
    <w:multiLevelType w:val="hybridMultilevel"/>
    <w:tmpl w:val="626AECDE"/>
    <w:lvl w:ilvl="0" w:tplc="114A8C1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10983"/>
    <w:rsid w:val="000000C8"/>
    <w:rsid w:val="00004B3B"/>
    <w:rsid w:val="00011817"/>
    <w:rsid w:val="0002330A"/>
    <w:rsid w:val="00023F67"/>
    <w:rsid w:val="000244AE"/>
    <w:rsid w:val="00025CE4"/>
    <w:rsid w:val="00031C49"/>
    <w:rsid w:val="0004512A"/>
    <w:rsid w:val="00046A05"/>
    <w:rsid w:val="00050F2C"/>
    <w:rsid w:val="000551F5"/>
    <w:rsid w:val="00057917"/>
    <w:rsid w:val="00062A66"/>
    <w:rsid w:val="00064132"/>
    <w:rsid w:val="00067AF8"/>
    <w:rsid w:val="00070DFC"/>
    <w:rsid w:val="000747CF"/>
    <w:rsid w:val="00074A34"/>
    <w:rsid w:val="00080234"/>
    <w:rsid w:val="0009352F"/>
    <w:rsid w:val="00095E47"/>
    <w:rsid w:val="000966AB"/>
    <w:rsid w:val="0009687C"/>
    <w:rsid w:val="000A1081"/>
    <w:rsid w:val="000A78C0"/>
    <w:rsid w:val="000B4BD9"/>
    <w:rsid w:val="000C02C8"/>
    <w:rsid w:val="000C2E0A"/>
    <w:rsid w:val="000C3880"/>
    <w:rsid w:val="000D0E4C"/>
    <w:rsid w:val="000D5583"/>
    <w:rsid w:val="000D6787"/>
    <w:rsid w:val="000F3695"/>
    <w:rsid w:val="000F58E8"/>
    <w:rsid w:val="001135AE"/>
    <w:rsid w:val="001137A8"/>
    <w:rsid w:val="001212BD"/>
    <w:rsid w:val="00134B39"/>
    <w:rsid w:val="00137D6B"/>
    <w:rsid w:val="001416BB"/>
    <w:rsid w:val="00144FF9"/>
    <w:rsid w:val="00153A47"/>
    <w:rsid w:val="00166731"/>
    <w:rsid w:val="00167160"/>
    <w:rsid w:val="00185706"/>
    <w:rsid w:val="0018592C"/>
    <w:rsid w:val="001872E6"/>
    <w:rsid w:val="00196760"/>
    <w:rsid w:val="001A2F8B"/>
    <w:rsid w:val="001C092A"/>
    <w:rsid w:val="001C148D"/>
    <w:rsid w:val="001C44AD"/>
    <w:rsid w:val="001E032C"/>
    <w:rsid w:val="001E3590"/>
    <w:rsid w:val="001E3A3D"/>
    <w:rsid w:val="001F0E78"/>
    <w:rsid w:val="001F361B"/>
    <w:rsid w:val="00200E78"/>
    <w:rsid w:val="00202824"/>
    <w:rsid w:val="00213434"/>
    <w:rsid w:val="002172D7"/>
    <w:rsid w:val="00220FBB"/>
    <w:rsid w:val="002404D5"/>
    <w:rsid w:val="0024170C"/>
    <w:rsid w:val="0024694A"/>
    <w:rsid w:val="002571BD"/>
    <w:rsid w:val="00267B24"/>
    <w:rsid w:val="00267F4D"/>
    <w:rsid w:val="00270195"/>
    <w:rsid w:val="00271574"/>
    <w:rsid w:val="00275D18"/>
    <w:rsid w:val="002A242C"/>
    <w:rsid w:val="002A7182"/>
    <w:rsid w:val="002B099D"/>
    <w:rsid w:val="002B1FFF"/>
    <w:rsid w:val="002C1982"/>
    <w:rsid w:val="002C1D90"/>
    <w:rsid w:val="002C499A"/>
    <w:rsid w:val="002D259E"/>
    <w:rsid w:val="002D3EBD"/>
    <w:rsid w:val="002D660C"/>
    <w:rsid w:val="002D69F7"/>
    <w:rsid w:val="002E50C7"/>
    <w:rsid w:val="002F198A"/>
    <w:rsid w:val="002F1C21"/>
    <w:rsid w:val="002F6288"/>
    <w:rsid w:val="00303F1D"/>
    <w:rsid w:val="003104FC"/>
    <w:rsid w:val="00313296"/>
    <w:rsid w:val="003223D3"/>
    <w:rsid w:val="003224BD"/>
    <w:rsid w:val="0032389A"/>
    <w:rsid w:val="00330E48"/>
    <w:rsid w:val="003340F8"/>
    <w:rsid w:val="003346D1"/>
    <w:rsid w:val="003363CC"/>
    <w:rsid w:val="0033712C"/>
    <w:rsid w:val="003420EF"/>
    <w:rsid w:val="00343F40"/>
    <w:rsid w:val="00347824"/>
    <w:rsid w:val="0035019A"/>
    <w:rsid w:val="00351C0D"/>
    <w:rsid w:val="00354282"/>
    <w:rsid w:val="00370954"/>
    <w:rsid w:val="00371874"/>
    <w:rsid w:val="00372E66"/>
    <w:rsid w:val="003750C9"/>
    <w:rsid w:val="00390BFC"/>
    <w:rsid w:val="00391529"/>
    <w:rsid w:val="003B4B7B"/>
    <w:rsid w:val="003D28E2"/>
    <w:rsid w:val="003D295D"/>
    <w:rsid w:val="003E16F6"/>
    <w:rsid w:val="003F3E19"/>
    <w:rsid w:val="00414374"/>
    <w:rsid w:val="00421978"/>
    <w:rsid w:val="00432C78"/>
    <w:rsid w:val="00434EBB"/>
    <w:rsid w:val="00442BB7"/>
    <w:rsid w:val="00445EE7"/>
    <w:rsid w:val="00446BCB"/>
    <w:rsid w:val="0045011B"/>
    <w:rsid w:val="00454CFE"/>
    <w:rsid w:val="004625F2"/>
    <w:rsid w:val="004657E2"/>
    <w:rsid w:val="00475449"/>
    <w:rsid w:val="004821A0"/>
    <w:rsid w:val="004829BB"/>
    <w:rsid w:val="004900D1"/>
    <w:rsid w:val="00491537"/>
    <w:rsid w:val="00492B32"/>
    <w:rsid w:val="00496C45"/>
    <w:rsid w:val="00497017"/>
    <w:rsid w:val="004A130E"/>
    <w:rsid w:val="004A6793"/>
    <w:rsid w:val="004B5161"/>
    <w:rsid w:val="004B741C"/>
    <w:rsid w:val="004C2257"/>
    <w:rsid w:val="004C2402"/>
    <w:rsid w:val="004D0642"/>
    <w:rsid w:val="004E7292"/>
    <w:rsid w:val="004F1B69"/>
    <w:rsid w:val="004F4163"/>
    <w:rsid w:val="0050116F"/>
    <w:rsid w:val="0050595E"/>
    <w:rsid w:val="00510570"/>
    <w:rsid w:val="00511DA6"/>
    <w:rsid w:val="00523F0F"/>
    <w:rsid w:val="005242FA"/>
    <w:rsid w:val="00531067"/>
    <w:rsid w:val="00534260"/>
    <w:rsid w:val="00536B52"/>
    <w:rsid w:val="00552ABD"/>
    <w:rsid w:val="00555557"/>
    <w:rsid w:val="00557E3D"/>
    <w:rsid w:val="00565757"/>
    <w:rsid w:val="00572339"/>
    <w:rsid w:val="005945C2"/>
    <w:rsid w:val="005A1B85"/>
    <w:rsid w:val="005A3569"/>
    <w:rsid w:val="005A6A19"/>
    <w:rsid w:val="005B48B2"/>
    <w:rsid w:val="005B5806"/>
    <w:rsid w:val="005C6684"/>
    <w:rsid w:val="005D0262"/>
    <w:rsid w:val="005D23A4"/>
    <w:rsid w:val="005E61AC"/>
    <w:rsid w:val="0061120F"/>
    <w:rsid w:val="006152AE"/>
    <w:rsid w:val="00624131"/>
    <w:rsid w:val="00633EED"/>
    <w:rsid w:val="00634BDC"/>
    <w:rsid w:val="006360AF"/>
    <w:rsid w:val="00637720"/>
    <w:rsid w:val="006431CE"/>
    <w:rsid w:val="006501E7"/>
    <w:rsid w:val="006624C2"/>
    <w:rsid w:val="0066438C"/>
    <w:rsid w:val="00665555"/>
    <w:rsid w:val="006670E1"/>
    <w:rsid w:val="00671504"/>
    <w:rsid w:val="00672767"/>
    <w:rsid w:val="0068545A"/>
    <w:rsid w:val="00685734"/>
    <w:rsid w:val="006902F2"/>
    <w:rsid w:val="006A04FA"/>
    <w:rsid w:val="006B082A"/>
    <w:rsid w:val="006B3ADE"/>
    <w:rsid w:val="006D2887"/>
    <w:rsid w:val="006D43CA"/>
    <w:rsid w:val="006E054F"/>
    <w:rsid w:val="006E07F9"/>
    <w:rsid w:val="006E25B3"/>
    <w:rsid w:val="006E276B"/>
    <w:rsid w:val="00703AFA"/>
    <w:rsid w:val="00704067"/>
    <w:rsid w:val="007057F6"/>
    <w:rsid w:val="00710026"/>
    <w:rsid w:val="00710983"/>
    <w:rsid w:val="0071135B"/>
    <w:rsid w:val="0071707B"/>
    <w:rsid w:val="0071785E"/>
    <w:rsid w:val="00727CC7"/>
    <w:rsid w:val="00732959"/>
    <w:rsid w:val="007459F7"/>
    <w:rsid w:val="007466B3"/>
    <w:rsid w:val="00751A43"/>
    <w:rsid w:val="00753439"/>
    <w:rsid w:val="00756BAC"/>
    <w:rsid w:val="00757283"/>
    <w:rsid w:val="007615CD"/>
    <w:rsid w:val="00763E35"/>
    <w:rsid w:val="007647C8"/>
    <w:rsid w:val="00765CF4"/>
    <w:rsid w:val="007868DD"/>
    <w:rsid w:val="007875CF"/>
    <w:rsid w:val="00792CE0"/>
    <w:rsid w:val="00793435"/>
    <w:rsid w:val="00796A74"/>
    <w:rsid w:val="007A151A"/>
    <w:rsid w:val="007A5D62"/>
    <w:rsid w:val="007A72BB"/>
    <w:rsid w:val="007A7D9F"/>
    <w:rsid w:val="007B4A58"/>
    <w:rsid w:val="007C598A"/>
    <w:rsid w:val="007D572E"/>
    <w:rsid w:val="007E48F7"/>
    <w:rsid w:val="007F3266"/>
    <w:rsid w:val="00813300"/>
    <w:rsid w:val="00814C67"/>
    <w:rsid w:val="00820D52"/>
    <w:rsid w:val="00823C8B"/>
    <w:rsid w:val="00842CF1"/>
    <w:rsid w:val="0084563F"/>
    <w:rsid w:val="008468C2"/>
    <w:rsid w:val="008477F6"/>
    <w:rsid w:val="00856591"/>
    <w:rsid w:val="008773E1"/>
    <w:rsid w:val="00881A5C"/>
    <w:rsid w:val="008871B8"/>
    <w:rsid w:val="0088752A"/>
    <w:rsid w:val="00887F0D"/>
    <w:rsid w:val="00891A91"/>
    <w:rsid w:val="008A27F6"/>
    <w:rsid w:val="008A52FD"/>
    <w:rsid w:val="008A5F8E"/>
    <w:rsid w:val="008B3264"/>
    <w:rsid w:val="008B5524"/>
    <w:rsid w:val="008C2934"/>
    <w:rsid w:val="008C2FC3"/>
    <w:rsid w:val="008C398C"/>
    <w:rsid w:val="008C3F1E"/>
    <w:rsid w:val="008D155D"/>
    <w:rsid w:val="008E38B7"/>
    <w:rsid w:val="008E48D4"/>
    <w:rsid w:val="008E65A6"/>
    <w:rsid w:val="008F0168"/>
    <w:rsid w:val="008F20BA"/>
    <w:rsid w:val="008F4098"/>
    <w:rsid w:val="008F6E92"/>
    <w:rsid w:val="009006F3"/>
    <w:rsid w:val="00905118"/>
    <w:rsid w:val="00911F03"/>
    <w:rsid w:val="00927BA7"/>
    <w:rsid w:val="00931F50"/>
    <w:rsid w:val="00934D77"/>
    <w:rsid w:val="009352EA"/>
    <w:rsid w:val="009425ED"/>
    <w:rsid w:val="00945083"/>
    <w:rsid w:val="0094615F"/>
    <w:rsid w:val="00946EBD"/>
    <w:rsid w:val="00947155"/>
    <w:rsid w:val="009503E8"/>
    <w:rsid w:val="00951D28"/>
    <w:rsid w:val="00957017"/>
    <w:rsid w:val="00957888"/>
    <w:rsid w:val="00972957"/>
    <w:rsid w:val="00972AE3"/>
    <w:rsid w:val="00972DE6"/>
    <w:rsid w:val="00973390"/>
    <w:rsid w:val="0098458B"/>
    <w:rsid w:val="00984B58"/>
    <w:rsid w:val="00997488"/>
    <w:rsid w:val="009A596C"/>
    <w:rsid w:val="009C2508"/>
    <w:rsid w:val="009C516A"/>
    <w:rsid w:val="009C6ACC"/>
    <w:rsid w:val="009C6EC6"/>
    <w:rsid w:val="009D001E"/>
    <w:rsid w:val="009D0759"/>
    <w:rsid w:val="009D0EB7"/>
    <w:rsid w:val="009E1A27"/>
    <w:rsid w:val="009E65AD"/>
    <w:rsid w:val="009F042C"/>
    <w:rsid w:val="009F6DB6"/>
    <w:rsid w:val="00A0096B"/>
    <w:rsid w:val="00A0590A"/>
    <w:rsid w:val="00A13483"/>
    <w:rsid w:val="00A14821"/>
    <w:rsid w:val="00A242E6"/>
    <w:rsid w:val="00A32D8B"/>
    <w:rsid w:val="00A3521D"/>
    <w:rsid w:val="00A3606D"/>
    <w:rsid w:val="00A40FC6"/>
    <w:rsid w:val="00A4732E"/>
    <w:rsid w:val="00A66357"/>
    <w:rsid w:val="00A72111"/>
    <w:rsid w:val="00A724F1"/>
    <w:rsid w:val="00A7555D"/>
    <w:rsid w:val="00A80594"/>
    <w:rsid w:val="00A82170"/>
    <w:rsid w:val="00A8277E"/>
    <w:rsid w:val="00A86B47"/>
    <w:rsid w:val="00AA1B59"/>
    <w:rsid w:val="00AA4681"/>
    <w:rsid w:val="00AB5381"/>
    <w:rsid w:val="00AD5CE6"/>
    <w:rsid w:val="00AE0A21"/>
    <w:rsid w:val="00AE1465"/>
    <w:rsid w:val="00AF0AEF"/>
    <w:rsid w:val="00AF50B3"/>
    <w:rsid w:val="00AF637A"/>
    <w:rsid w:val="00AF6A82"/>
    <w:rsid w:val="00B00C20"/>
    <w:rsid w:val="00B045D1"/>
    <w:rsid w:val="00B04AA3"/>
    <w:rsid w:val="00B13BA9"/>
    <w:rsid w:val="00B25AA6"/>
    <w:rsid w:val="00B2619D"/>
    <w:rsid w:val="00B277D4"/>
    <w:rsid w:val="00B3269E"/>
    <w:rsid w:val="00B34CE9"/>
    <w:rsid w:val="00B36BB7"/>
    <w:rsid w:val="00B5664F"/>
    <w:rsid w:val="00B64A27"/>
    <w:rsid w:val="00B674EF"/>
    <w:rsid w:val="00B7259D"/>
    <w:rsid w:val="00B77FAA"/>
    <w:rsid w:val="00B80853"/>
    <w:rsid w:val="00B81876"/>
    <w:rsid w:val="00B836B3"/>
    <w:rsid w:val="00BB5355"/>
    <w:rsid w:val="00BB6238"/>
    <w:rsid w:val="00BB685F"/>
    <w:rsid w:val="00BD1488"/>
    <w:rsid w:val="00BD32FF"/>
    <w:rsid w:val="00BE5673"/>
    <w:rsid w:val="00C05823"/>
    <w:rsid w:val="00C11CF4"/>
    <w:rsid w:val="00C207B0"/>
    <w:rsid w:val="00C239CA"/>
    <w:rsid w:val="00C32384"/>
    <w:rsid w:val="00C35E53"/>
    <w:rsid w:val="00C36149"/>
    <w:rsid w:val="00C36D99"/>
    <w:rsid w:val="00C37527"/>
    <w:rsid w:val="00C40B19"/>
    <w:rsid w:val="00C41D58"/>
    <w:rsid w:val="00C430CC"/>
    <w:rsid w:val="00C4477E"/>
    <w:rsid w:val="00C461BA"/>
    <w:rsid w:val="00C51EBE"/>
    <w:rsid w:val="00C56747"/>
    <w:rsid w:val="00C57FE1"/>
    <w:rsid w:val="00C62A81"/>
    <w:rsid w:val="00C71B34"/>
    <w:rsid w:val="00C72297"/>
    <w:rsid w:val="00C7491C"/>
    <w:rsid w:val="00C8647B"/>
    <w:rsid w:val="00C91E1A"/>
    <w:rsid w:val="00C942E8"/>
    <w:rsid w:val="00C95224"/>
    <w:rsid w:val="00C97B22"/>
    <w:rsid w:val="00CA4F97"/>
    <w:rsid w:val="00CA533F"/>
    <w:rsid w:val="00CC00F4"/>
    <w:rsid w:val="00CC4E50"/>
    <w:rsid w:val="00CC72A0"/>
    <w:rsid w:val="00CD1165"/>
    <w:rsid w:val="00CD1AFA"/>
    <w:rsid w:val="00CD71D1"/>
    <w:rsid w:val="00CD7DCD"/>
    <w:rsid w:val="00CF282A"/>
    <w:rsid w:val="00D00D77"/>
    <w:rsid w:val="00D02C2D"/>
    <w:rsid w:val="00D03938"/>
    <w:rsid w:val="00D044C8"/>
    <w:rsid w:val="00D05817"/>
    <w:rsid w:val="00D15FF0"/>
    <w:rsid w:val="00D21BA4"/>
    <w:rsid w:val="00D23F47"/>
    <w:rsid w:val="00D40FC8"/>
    <w:rsid w:val="00D41637"/>
    <w:rsid w:val="00D41D06"/>
    <w:rsid w:val="00D4293A"/>
    <w:rsid w:val="00D44A4C"/>
    <w:rsid w:val="00D529E7"/>
    <w:rsid w:val="00D55049"/>
    <w:rsid w:val="00D5785E"/>
    <w:rsid w:val="00D60036"/>
    <w:rsid w:val="00D65478"/>
    <w:rsid w:val="00D6762C"/>
    <w:rsid w:val="00D70713"/>
    <w:rsid w:val="00D708FB"/>
    <w:rsid w:val="00D8213D"/>
    <w:rsid w:val="00D96A76"/>
    <w:rsid w:val="00DA6002"/>
    <w:rsid w:val="00DC0483"/>
    <w:rsid w:val="00DC5F36"/>
    <w:rsid w:val="00DE54C7"/>
    <w:rsid w:val="00E00F3C"/>
    <w:rsid w:val="00E05C43"/>
    <w:rsid w:val="00E060B0"/>
    <w:rsid w:val="00E077C4"/>
    <w:rsid w:val="00E1715F"/>
    <w:rsid w:val="00E25113"/>
    <w:rsid w:val="00E30105"/>
    <w:rsid w:val="00E36F3C"/>
    <w:rsid w:val="00E63791"/>
    <w:rsid w:val="00E70531"/>
    <w:rsid w:val="00E70582"/>
    <w:rsid w:val="00E709F6"/>
    <w:rsid w:val="00E71F0A"/>
    <w:rsid w:val="00E72BDD"/>
    <w:rsid w:val="00E73B44"/>
    <w:rsid w:val="00E74B0B"/>
    <w:rsid w:val="00E81FED"/>
    <w:rsid w:val="00E8335C"/>
    <w:rsid w:val="00E87607"/>
    <w:rsid w:val="00E9009D"/>
    <w:rsid w:val="00EA2AB0"/>
    <w:rsid w:val="00EA4F45"/>
    <w:rsid w:val="00EB098D"/>
    <w:rsid w:val="00EB33A5"/>
    <w:rsid w:val="00EC14D6"/>
    <w:rsid w:val="00ED3032"/>
    <w:rsid w:val="00ED4566"/>
    <w:rsid w:val="00EE246D"/>
    <w:rsid w:val="00EE4058"/>
    <w:rsid w:val="00EE4961"/>
    <w:rsid w:val="00EE715E"/>
    <w:rsid w:val="00EF431E"/>
    <w:rsid w:val="00F04067"/>
    <w:rsid w:val="00F1257C"/>
    <w:rsid w:val="00F46CE8"/>
    <w:rsid w:val="00F56826"/>
    <w:rsid w:val="00F6030A"/>
    <w:rsid w:val="00F64A15"/>
    <w:rsid w:val="00F828DB"/>
    <w:rsid w:val="00F904F2"/>
    <w:rsid w:val="00F9494F"/>
    <w:rsid w:val="00F954DE"/>
    <w:rsid w:val="00FA26CE"/>
    <w:rsid w:val="00FA303B"/>
    <w:rsid w:val="00FB45D7"/>
    <w:rsid w:val="00FB61D5"/>
    <w:rsid w:val="00FC20EF"/>
    <w:rsid w:val="00FC673F"/>
    <w:rsid w:val="00FD0811"/>
    <w:rsid w:val="00FD498C"/>
    <w:rsid w:val="00FD7D4F"/>
    <w:rsid w:val="00FE4147"/>
    <w:rsid w:val="00FF4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2E6"/>
  </w:style>
  <w:style w:type="paragraph" w:styleId="Footer">
    <w:name w:val="footer"/>
    <w:basedOn w:val="Normal"/>
    <w:link w:val="FooterChar"/>
    <w:uiPriority w:val="99"/>
    <w:semiHidden/>
    <w:unhideWhenUsed/>
    <w:rsid w:val="001872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2E6"/>
  </w:style>
  <w:style w:type="paragraph" w:styleId="ListParagraph">
    <w:name w:val="List Paragraph"/>
    <w:basedOn w:val="Normal"/>
    <w:uiPriority w:val="34"/>
    <w:qFormat/>
    <w:rsid w:val="005D0262"/>
    <w:pPr>
      <w:ind w:left="720"/>
      <w:contextualSpacing/>
    </w:pPr>
  </w:style>
  <w:style w:type="character" w:styleId="Hyperlink">
    <w:name w:val="Hyperlink"/>
    <w:basedOn w:val="DefaultParagraphFont"/>
    <w:uiPriority w:val="99"/>
    <w:unhideWhenUsed/>
    <w:rsid w:val="003363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llup.com/poll/166565/one-five-worldwide-living-extreme-poverty.aspx.%20Accessed%2024%20Oct.%20201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udantribune.com/Roots-of-Sudanese-conflict-are-in,25558" TargetMode="External"/><Relationship Id="rId12" Type="http://schemas.openxmlformats.org/officeDocument/2006/relationships/hyperlink" Target="http://www.unicef.org/southsudan/education.html.%20Accessed%2024%20Oct.%20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bank.org/en/country/southsudan/overview.%20%20Accessed%2024%20Oct.%2020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frica.upenn.edu/Hornet/sd_machar.html.%20%20Accessed%2024%20Oct.%202016" TargetMode="External"/><Relationship Id="rId4" Type="http://schemas.openxmlformats.org/officeDocument/2006/relationships/webSettings" Target="webSettings.xml"/><Relationship Id="rId9" Type="http://schemas.openxmlformats.org/officeDocument/2006/relationships/hyperlink" Target="https://www.iisd.org/pdf/2002/envsec_oil_violence.pdf.%20Accessed%2024%20Oct.%2020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3128</Words>
  <Characters>17831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21</cp:revision>
  <dcterms:created xsi:type="dcterms:W3CDTF">2016-10-24T21:51:00Z</dcterms:created>
  <dcterms:modified xsi:type="dcterms:W3CDTF">2016-10-27T16:12:00Z</dcterms:modified>
</cp:coreProperties>
</file>