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B19" w:rsidRPr="00670660" w:rsidRDefault="00AD7B19">
      <w:r w:rsidRPr="00670660">
        <w:t>Name of Student</w:t>
      </w:r>
    </w:p>
    <w:p w:rsidR="00AD7B19" w:rsidRPr="00670660" w:rsidRDefault="00AD7B19">
      <w:r w:rsidRPr="00670660">
        <w:t>Name of Professor</w:t>
      </w:r>
    </w:p>
    <w:p w:rsidR="00AD7B19" w:rsidRPr="00670660" w:rsidRDefault="00AD7B19">
      <w:r w:rsidRPr="00670660">
        <w:t>Course</w:t>
      </w:r>
    </w:p>
    <w:p w:rsidR="00AD7B19" w:rsidRPr="00670660" w:rsidRDefault="00AD7B19">
      <w:r w:rsidRPr="00670660">
        <w:t>Date</w:t>
      </w:r>
    </w:p>
    <w:p w:rsidR="001A1573" w:rsidRPr="00670660" w:rsidRDefault="00C03EC6" w:rsidP="00AD7B19">
      <w:pPr>
        <w:jc w:val="center"/>
      </w:pPr>
      <w:r w:rsidRPr="00670660">
        <w:t>Immigration policy memo</w:t>
      </w:r>
    </w:p>
    <w:p w:rsidR="00F320C3" w:rsidRDefault="00F320C3" w:rsidP="00F320C3">
      <w:pPr>
        <w:ind w:firstLine="720"/>
        <w:contextualSpacing/>
      </w:pPr>
      <w:r>
        <w:t xml:space="preserve">The following memo discusses the Citizenship and Naturalization policies and procedures. The Citizenship and Naturalization policies were established to provide guidelines to immigrants and how they could attain citizenship status. There is history in the USA regarding the inflow of immigrants, and the policies are thus intended to provide guidelines to the relevant authorities and the immigrants on how to attain citizenship status if they wish to become Americans. According to USCIS, the USA has always valued the involvement of the immigrants, especially concerning the fortification of the country and the perpetuation of its heritage as a nation of liberty and opportunity. </w:t>
      </w:r>
    </w:p>
    <w:p w:rsidR="00F320C3" w:rsidRDefault="00F320C3" w:rsidP="00F320C3">
      <w:pPr>
        <w:ind w:firstLine="720"/>
        <w:contextualSpacing/>
      </w:pPr>
      <w:r>
        <w:t xml:space="preserve">The issue about citizenship and nationalization can be traced to 1787 when the USA approved the citizenship status to its first group of immigrants (USCIS). During that time, the people that qualified for the citizenship status were neither expected to apply for citizenship nor were they supposed to take the Oath of Allegiance (USCIS). The only requirement that could guarantee citizenship to people then was remaining in the country after the end of the war and the time of the USA’s independence. Staying in the country after the war was taken to mean that the individual was ready to show allegiance to the new authorities. However, although it appears the only requirement was to remain in the USA after the war to qualify for citizenship, things changed after the end of the war. Since the war was over, there was a need to use new concepts </w:t>
      </w:r>
      <w:r>
        <w:lastRenderedPageBreak/>
        <w:t xml:space="preserve">to determine the eligibility of individuals towards citizenship. People that came to American after the war had to show that they were also eligible to be granted citizenship status. Several Acts had to be introduced to provide guidelines about the eligibility of immigrants to achieving citizenship and naturalization status. The first Act was the Naturalization Act of 1790, which recommended the standardized requirement of the oath of allegiance and naturalization rules (USCIS). This law also introduced the number of years that an immigrant would have spent in the USA to qualify for naturalization. An immigrant was expected to have spent two years in the country to be considered for naturalization. Additionally, good morals were also regarded as part of the requirement to attain naturalization status. </w:t>
      </w:r>
    </w:p>
    <w:p w:rsidR="00F320C3" w:rsidRDefault="00F320C3" w:rsidP="00F320C3">
      <w:pPr>
        <w:ind w:firstLine="720"/>
        <w:contextualSpacing/>
      </w:pPr>
      <w:r>
        <w:t>In 1798, another Naturalization Act was introduced which allowed the USA authorities to deport all foreigners perceived to be dangerous (USCIS). Additionally, the residency requirements were increased to 14 years from the previous two years. This new requirement meant that for a person to qualify for citizenship, they had to have been residing in the USA for 14 years. This Act was followed by the Naturalization Act (1802) which changed the residency prerequisite to 5 years from 14 years as had been the case in the Naturalization Act (1798) (USCIS). It was followed by the Naturalization Act (1891) which had several requirements for potential citizens (USCIS). In the new Act, people with contagious ailments, polygamists, and individuals convicted of a transgre</w:t>
      </w:r>
      <w:r w:rsidR="004735B2">
        <w:t>ssion that had a moral depravity</w:t>
      </w:r>
      <w:r>
        <w:t xml:space="preserve"> were barred from naturalization. Another Act was introduced in 1906 which established standardized procedures of Naturalization (USCIS). Additionally, those that were to qualify for naturalization had to show they could communicate in the English language. Furthermore, this Act instituted the Bureau of Immigration and Naturalization. Later, the Alien Registration Act of 1940 was introduced, which demanded that all aliens in the USA older than 14 years to register (USCIS). </w:t>
      </w:r>
    </w:p>
    <w:p w:rsidR="00F320C3" w:rsidRDefault="00F320C3" w:rsidP="00F320C3">
      <w:pPr>
        <w:ind w:firstLine="720"/>
        <w:contextualSpacing/>
      </w:pPr>
      <w:r>
        <w:lastRenderedPageBreak/>
        <w:t xml:space="preserve">It is also worth noting that there are various ways through which people could become U.S. citizens. One of the ways is by birth, whereby a person becomes a citizen by being born in the country. However, an individual may also become a U.S. citizen if they were born in recognized U.S. territories. For example, people born in Puerto Rico on or after April 1899 were considered USA citizens at birth (USCIS). Additionally, people born in the Canal Zone between February 26 and October 1 in1904 and 1979 respectively were also perceived to be citizens of the USA (USCIS). These examples show that there were stipulations that allowed people to become citizens of USA by birth even when they were not born in the USA. </w:t>
      </w:r>
    </w:p>
    <w:p w:rsidR="00F320C3" w:rsidRDefault="00F320C3" w:rsidP="00F320C3">
      <w:pPr>
        <w:ind w:firstLine="720"/>
        <w:contextualSpacing/>
      </w:pPr>
      <w:r>
        <w:t xml:space="preserve">The policy thus shows the stipulations that have to be followed by all those intending to become citizens of the USA. The policy also explains how the movement of people to a given region influences legislation as the country strives to maintain order. </w:t>
      </w:r>
    </w:p>
    <w:p w:rsidR="00F320C3" w:rsidRDefault="00F320C3" w:rsidP="00F320C3">
      <w:pPr>
        <w:ind w:firstLine="720"/>
        <w:contextualSpacing/>
      </w:pPr>
      <w:r>
        <w:t xml:space="preserve">The issue of citizenship and naturalization ignites the debate about the factors that may contribute to the movement of people from a country to another. According to Massey (35), labor is one of the major factors contributing to the movement of people from a country to another. It can be observed that some countries are labor intensive while others experience scarcity of labor. Countries that have an abundance of work appear attractive to people from countries with a shortage of labor, hence the movement of people from the countries with scarce jobs to those with plenty of employment opportunities. Since it is possible that the people that have come to seek employment opportunities may decide to stay permanently even after the attainment of their retirement age, countries such as the USA have seen the need to stipulate regulations that govern that process. Additionally, it also emerges that the movement of people between countries can also be linked to expertise as a form of investment. Highly skilled people </w:t>
      </w:r>
      <w:r>
        <w:lastRenderedPageBreak/>
        <w:t xml:space="preserve">may decide to earn high returns, whereby they are paid for sharing their skills with the countries that lack specialized personnel (Massey 35). </w:t>
      </w:r>
    </w:p>
    <w:p w:rsidR="00F320C3" w:rsidRDefault="00F320C3" w:rsidP="00F320C3">
      <w:pPr>
        <w:ind w:firstLine="720"/>
        <w:contextualSpacing/>
      </w:pPr>
      <w:r>
        <w:t xml:space="preserve">The immigration issue is complex based on how the immigrants would settle and manage their lives when in the new country. It is worth noting that different countries have different ways of life and thus, it is possible for people from one country to experience differences in another country. It can be observed that majorly, the labor issue leads immigrants to settle in urban centers (Waldinger 216). Most probably, it can be argued that urban centers provide the immigrants with the sought labor. It is in these urban settings that the immigrants can work in the leading businesses or industries and get paid for their expertise. Therefore, many cities such as Los Angeles and New York have witnessed an influx of immigrants (Waldinger 217). It is also worth noting that the movement of these people to new towns also changes the demographics of these urban centers. It can be argued that an increase in the population also demands an increase in essential social amenities to meet the needs of this population. </w:t>
      </w:r>
    </w:p>
    <w:p w:rsidR="00F320C3" w:rsidRDefault="00F320C3" w:rsidP="00F320C3">
      <w:pPr>
        <w:ind w:firstLine="720"/>
        <w:contextualSpacing/>
      </w:pPr>
      <w:r>
        <w:t xml:space="preserve">From the previously-mentioned policy, it can be deduced that there are reasons for the regulations. For example, it can be argued that the requirement that the potential citizen has to have spent some years in the USA is necessary to understand the culture of the USA. According to Hofstede and as cited by Altinay and Poudel (156), different countries have different cultures, which define their way of life. It can thus be argued that there is a need for any immigrant to understand the American culture because it may be different from the one to which the potential citizen was accustomed. It can also be argued that the years that the individual should have spent in the USA before considerations for naturalization assist to assimilate. Gordon (62) defines assimilation as an interpenetration and blending process, whereby people obtain the emotions, recollections, and feelings of other people, and share their history and knowledge, and in the </w:t>
      </w:r>
      <w:r>
        <w:lastRenderedPageBreak/>
        <w:t xml:space="preserve">process integrate these experiences into a regular cultural life. It is worth noting that during the assimilation process, the immigrant tends to lose the original culture and adopt a new one that corresponds to the new country. </w:t>
      </w:r>
    </w:p>
    <w:p w:rsidR="00F320C3" w:rsidRDefault="00F320C3" w:rsidP="00F320C3">
      <w:pPr>
        <w:ind w:firstLine="720"/>
        <w:contextualSpacing/>
      </w:pPr>
      <w:r>
        <w:t xml:space="preserve">According to Gordon (63), the assimilation process is deemed adequate when the immigrant acquires the language used in the new country and the social rituals employed there. This statement can explain the need for an understanding of the English language as a prerequisite in the naturalization process. Since the English language is the official language of the USA according to USCIS, it is thus necessary for any person intending to become a citizen to understand the language. It can be argued that communication can greatly be influenced if the immigrants know the language because they will have the capability to express themselves in the country’s language whenever required to do so. </w:t>
      </w:r>
    </w:p>
    <w:p w:rsidR="00F320C3" w:rsidRDefault="00F320C3" w:rsidP="00F320C3">
      <w:pPr>
        <w:ind w:firstLine="720"/>
        <w:contextualSpacing/>
      </w:pPr>
      <w:r>
        <w:t xml:space="preserve">However, it is worth noting that sometimes, the assimilation process does not lead to the loss of an immigrant’s home culture. According to Salins, as cited by Simon, it is possible for immigrants to integrate into the American society without having to lose their identities. </w:t>
      </w:r>
    </w:p>
    <w:p w:rsidR="00F320C3" w:rsidRDefault="00F320C3" w:rsidP="00F320C3">
      <w:pPr>
        <w:ind w:firstLine="720"/>
        <w:contextualSpacing/>
      </w:pPr>
      <w:r>
        <w:t xml:space="preserve">Therefore, it can be deduced that immigrants will continue coming to the USA because of the opportunities it provides to people. Additionally, immigrants need to understand about the USA to get a glimpse of its culture and enhance their survival. It is also necessary to comprehend about all regulations about a given country to enhance easier integration. It can be observed that it may be challenging for immigrants if they do not understand the factors that may hinder their naturalization processes, such as ailments and personal conduct. </w:t>
      </w:r>
    </w:p>
    <w:p w:rsidR="00F320C3" w:rsidRDefault="00F320C3" w:rsidP="00F320C3">
      <w:pPr>
        <w:ind w:firstLine="720"/>
        <w:contextualSpacing/>
      </w:pPr>
      <w:r>
        <w:t xml:space="preserve">However, it is important for immigrants to learn that the assimilation process is also influenced by regions because different locations perceive assimilation differently. There are those regions that associate assimilation with having a standard language, residing in similar </w:t>
      </w:r>
      <w:r>
        <w:lastRenderedPageBreak/>
        <w:t>neighborhoods and same education systems. However, other areas associate and perceive assimilation differently. According to Salins, as cited by Simon, it is possible to encounter people that believe that people can be assimilated into the American culture, but while embracing bilingual education and multicultural curricula. Conversely, Salins, as cited by Simon, believes that the employment of multicultural curricula is a risk to assimilation because of its potential to promote ethnic grievances. People may not appreciate a country fully if they still associate themselves with their countries of origin. The oath of allegiance may not mean much if the immigrant is still tied to the home country. It can be argued that for naturalization to be valid, the assimilation process needs to be reviewed.</w:t>
      </w:r>
    </w:p>
    <w:p w:rsidR="00F320C3" w:rsidRDefault="00F320C3" w:rsidP="0065086F">
      <w:pPr>
        <w:ind w:firstLine="720"/>
        <w:contextualSpacing/>
      </w:pPr>
    </w:p>
    <w:p w:rsidR="00747483" w:rsidRPr="00670660" w:rsidRDefault="00747483" w:rsidP="0065086F">
      <w:pPr>
        <w:ind w:firstLine="720"/>
        <w:contextualSpacing/>
      </w:pPr>
    </w:p>
    <w:p w:rsidR="00747483" w:rsidRPr="00670660" w:rsidRDefault="00747483" w:rsidP="0065086F">
      <w:pPr>
        <w:ind w:firstLine="720"/>
        <w:contextualSpacing/>
      </w:pPr>
    </w:p>
    <w:p w:rsidR="00747483" w:rsidRPr="00670660" w:rsidRDefault="00747483" w:rsidP="0065086F">
      <w:pPr>
        <w:ind w:firstLine="720"/>
        <w:contextualSpacing/>
      </w:pPr>
    </w:p>
    <w:p w:rsidR="00747483" w:rsidRPr="00670660" w:rsidRDefault="00747483" w:rsidP="0065086F">
      <w:pPr>
        <w:ind w:firstLine="720"/>
        <w:contextualSpacing/>
      </w:pPr>
    </w:p>
    <w:p w:rsidR="00747483" w:rsidRPr="00670660" w:rsidRDefault="00747483" w:rsidP="0065086F">
      <w:pPr>
        <w:ind w:firstLine="720"/>
        <w:contextualSpacing/>
      </w:pPr>
    </w:p>
    <w:p w:rsidR="00747483" w:rsidRPr="00670660" w:rsidRDefault="00747483" w:rsidP="00AD7B19"/>
    <w:p w:rsidR="00747483" w:rsidRPr="00670660" w:rsidRDefault="00747483" w:rsidP="00AD7B19"/>
    <w:p w:rsidR="00747483" w:rsidRPr="00670660" w:rsidRDefault="00747483" w:rsidP="00AD7B19"/>
    <w:p w:rsidR="00747483" w:rsidRPr="00670660" w:rsidRDefault="00747483" w:rsidP="00AD7B19"/>
    <w:p w:rsidR="00747483" w:rsidRPr="00670660" w:rsidRDefault="00747483" w:rsidP="00AD7B19"/>
    <w:p w:rsidR="0065086F" w:rsidRDefault="0065086F" w:rsidP="002E2822">
      <w:pPr>
        <w:jc w:val="center"/>
      </w:pPr>
    </w:p>
    <w:p w:rsidR="001316E4" w:rsidRPr="00670660" w:rsidRDefault="00747483" w:rsidP="002E2822">
      <w:pPr>
        <w:jc w:val="center"/>
      </w:pPr>
      <w:r w:rsidRPr="00670660">
        <w:lastRenderedPageBreak/>
        <w:t>Works Cited</w:t>
      </w:r>
    </w:p>
    <w:p w:rsidR="001316E4" w:rsidRPr="00670660" w:rsidRDefault="001316E4" w:rsidP="00165B1E">
      <w:pPr>
        <w:ind w:left="720" w:hanging="720"/>
        <w:contextualSpacing/>
      </w:pPr>
      <w:r w:rsidRPr="00670660">
        <w:t xml:space="preserve">Altinay, Levent and Surya Poudel. </w:t>
      </w:r>
      <w:r w:rsidRPr="00670660">
        <w:rPr>
          <w:i/>
        </w:rPr>
        <w:t>Enhancing customer experience in the service industry: A global perspective</w:t>
      </w:r>
      <w:r w:rsidRPr="00670660">
        <w:t>. Cambridge Scholars Publishing, 2015.</w:t>
      </w:r>
    </w:p>
    <w:p w:rsidR="001316E4" w:rsidRPr="00670660" w:rsidRDefault="001316E4" w:rsidP="00165B1E">
      <w:pPr>
        <w:ind w:left="720" w:hanging="720"/>
        <w:contextualSpacing/>
      </w:pPr>
      <w:r w:rsidRPr="00670660">
        <w:t xml:space="preserve">Gordon, Gordon. “The nature of assimilation” </w:t>
      </w:r>
      <w:r w:rsidRPr="00670660">
        <w:rPr>
          <w:i/>
        </w:rPr>
        <w:t>Chapter 3 in Assimilation in American Life</w:t>
      </w:r>
      <w:r w:rsidRPr="00670660">
        <w:t>. Oxford University Press, 1964. (pp. 60-83).</w:t>
      </w:r>
    </w:p>
    <w:p w:rsidR="001316E4" w:rsidRPr="00670660" w:rsidRDefault="001316E4" w:rsidP="00165B1E">
      <w:pPr>
        <w:ind w:left="720" w:hanging="720"/>
        <w:contextualSpacing/>
      </w:pPr>
      <w:r w:rsidRPr="00670660">
        <w:t xml:space="preserve">Massey, Douglas S. </w:t>
      </w:r>
      <w:r w:rsidRPr="00670660">
        <w:rPr>
          <w:i/>
        </w:rPr>
        <w:t xml:space="preserve">Why does immigration occur? A theoretical synthesis. </w:t>
      </w:r>
      <w:r w:rsidRPr="00670660">
        <w:t>pp. 34-52.</w:t>
      </w:r>
    </w:p>
    <w:p w:rsidR="001316E4" w:rsidRPr="00670660" w:rsidRDefault="001316E4" w:rsidP="00165B1E">
      <w:pPr>
        <w:ind w:left="720" w:hanging="720"/>
        <w:contextualSpacing/>
      </w:pPr>
      <w:r w:rsidRPr="00670660">
        <w:t xml:space="preserve">Simon, Rita J. </w:t>
      </w:r>
      <w:r w:rsidRPr="00670660">
        <w:rPr>
          <w:i/>
        </w:rPr>
        <w:t xml:space="preserve">Assimilation, American Style by Peter D. Salins. </w:t>
      </w:r>
      <w:r w:rsidRPr="00670660">
        <w:t>Foundation for Economic Education</w:t>
      </w:r>
      <w:r w:rsidR="00840E42" w:rsidRPr="00670660">
        <w:t>, 01</w:t>
      </w:r>
      <w:r w:rsidRPr="00670660">
        <w:t xml:space="preserve"> March, 1998, </w:t>
      </w:r>
      <w:hyperlink r:id="rId6" w:history="1">
        <w:r w:rsidRPr="00670660">
          <w:rPr>
            <w:rStyle w:val="Hyperlink"/>
            <w:color w:val="auto"/>
          </w:rPr>
          <w:t>https://fee.org/articles/assimilation-american-style-by-peter-d-salins/</w:t>
        </w:r>
      </w:hyperlink>
      <w:r w:rsidRPr="00670660">
        <w:t>. Accessed 01 April 2017.</w:t>
      </w:r>
    </w:p>
    <w:p w:rsidR="001316E4" w:rsidRPr="00670660" w:rsidRDefault="001316E4" w:rsidP="00165B1E">
      <w:pPr>
        <w:ind w:left="720" w:hanging="720"/>
        <w:contextualSpacing/>
      </w:pPr>
      <w:r w:rsidRPr="00670660">
        <w:t xml:space="preserve">USCIS. </w:t>
      </w:r>
      <w:r w:rsidRPr="00670660">
        <w:rPr>
          <w:i/>
        </w:rPr>
        <w:t>USCIS policy manual</w:t>
      </w:r>
      <w:r w:rsidRPr="00670660">
        <w:t xml:space="preserve">, USCIS, January 05, 2017, </w:t>
      </w:r>
      <w:hyperlink r:id="rId7" w:history="1">
        <w:r w:rsidRPr="00670660">
          <w:rPr>
            <w:rStyle w:val="Hyperlink"/>
            <w:color w:val="auto"/>
          </w:rPr>
          <w:t>https://www.uscis.gov/policymanual/Print/PolicyManual-Volume12-PartA.html#footnote-5</w:t>
        </w:r>
      </w:hyperlink>
      <w:r w:rsidRPr="00670660">
        <w:t>. Accessed 01 April 2017.</w:t>
      </w:r>
    </w:p>
    <w:p w:rsidR="001316E4" w:rsidRPr="00670660" w:rsidRDefault="001316E4" w:rsidP="00165B1E">
      <w:pPr>
        <w:ind w:left="720" w:hanging="720"/>
        <w:contextualSpacing/>
      </w:pPr>
      <w:r w:rsidRPr="00670660">
        <w:t xml:space="preserve">Waldinger, Roger. “Immigration and urban change.” </w:t>
      </w:r>
      <w:r w:rsidRPr="00670660">
        <w:rPr>
          <w:i/>
        </w:rPr>
        <w:t>Annual Review of Sociology</w:t>
      </w:r>
      <w:r w:rsidRPr="00670660">
        <w:t>, vol. 15, 1989, pp. 211-232.</w:t>
      </w:r>
    </w:p>
    <w:p w:rsidR="00B271AD" w:rsidRPr="00670660" w:rsidRDefault="00B271AD" w:rsidP="00165B1E">
      <w:pPr>
        <w:ind w:left="720" w:hanging="720"/>
        <w:contextualSpacing/>
      </w:pPr>
    </w:p>
    <w:p w:rsidR="00B271AD" w:rsidRPr="00670660" w:rsidRDefault="00B271AD" w:rsidP="00165B1E">
      <w:pPr>
        <w:ind w:left="720" w:hanging="720"/>
        <w:contextualSpacing/>
      </w:pPr>
    </w:p>
    <w:p w:rsidR="00B271AD" w:rsidRPr="00670660" w:rsidRDefault="00B271AD" w:rsidP="00165B1E">
      <w:pPr>
        <w:ind w:left="720" w:hanging="720"/>
        <w:contextualSpacing/>
      </w:pPr>
    </w:p>
    <w:sectPr w:rsidR="00B271AD" w:rsidRPr="00670660" w:rsidSect="001A157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D61" w:rsidRDefault="00A96D61" w:rsidP="00A96D61">
      <w:pPr>
        <w:spacing w:after="0" w:line="240" w:lineRule="auto"/>
      </w:pPr>
      <w:r>
        <w:separator/>
      </w:r>
    </w:p>
  </w:endnote>
  <w:endnote w:type="continuationSeparator" w:id="1">
    <w:p w:rsidR="00A96D61" w:rsidRDefault="00A96D61" w:rsidP="00A96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D61" w:rsidRDefault="00A96D61" w:rsidP="00A96D61">
      <w:pPr>
        <w:spacing w:after="0" w:line="240" w:lineRule="auto"/>
      </w:pPr>
      <w:r>
        <w:separator/>
      </w:r>
    </w:p>
  </w:footnote>
  <w:footnote w:type="continuationSeparator" w:id="1">
    <w:p w:rsidR="00A96D61" w:rsidRDefault="00A96D61" w:rsidP="00A96D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47002"/>
      <w:docPartObj>
        <w:docPartGallery w:val="Page Numbers (Top of Page)"/>
        <w:docPartUnique/>
      </w:docPartObj>
    </w:sdtPr>
    <w:sdtContent>
      <w:p w:rsidR="00A96D61" w:rsidRDefault="00A96D61" w:rsidP="00A96D61">
        <w:pPr>
          <w:pStyle w:val="Header"/>
          <w:jc w:val="center"/>
        </w:pPr>
        <w:r>
          <w:t xml:space="preserve">                                                                                                                      Surname    </w:t>
        </w:r>
        <w:fldSimple w:instr=" PAGE   \* MERGEFORMAT ">
          <w:r w:rsidR="00FB3D97">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03EC6"/>
    <w:rsid w:val="000042F4"/>
    <w:rsid w:val="00021AEF"/>
    <w:rsid w:val="000411D5"/>
    <w:rsid w:val="000412BD"/>
    <w:rsid w:val="000413DA"/>
    <w:rsid w:val="000445AD"/>
    <w:rsid w:val="00046D33"/>
    <w:rsid w:val="0004793E"/>
    <w:rsid w:val="000533E3"/>
    <w:rsid w:val="00074000"/>
    <w:rsid w:val="00083252"/>
    <w:rsid w:val="00090A23"/>
    <w:rsid w:val="00092A1C"/>
    <w:rsid w:val="00094AEA"/>
    <w:rsid w:val="0009504D"/>
    <w:rsid w:val="000C2844"/>
    <w:rsid w:val="000C29B4"/>
    <w:rsid w:val="000C53D1"/>
    <w:rsid w:val="000E1EC7"/>
    <w:rsid w:val="000F25A0"/>
    <w:rsid w:val="000F6A31"/>
    <w:rsid w:val="0010610A"/>
    <w:rsid w:val="00117E69"/>
    <w:rsid w:val="00126FED"/>
    <w:rsid w:val="001316E4"/>
    <w:rsid w:val="00146D3A"/>
    <w:rsid w:val="00147F1D"/>
    <w:rsid w:val="001509D2"/>
    <w:rsid w:val="0015350A"/>
    <w:rsid w:val="00160FED"/>
    <w:rsid w:val="001610A1"/>
    <w:rsid w:val="00165B1E"/>
    <w:rsid w:val="00171CB0"/>
    <w:rsid w:val="00172D93"/>
    <w:rsid w:val="00177830"/>
    <w:rsid w:val="00180F85"/>
    <w:rsid w:val="001A1573"/>
    <w:rsid w:val="001A3EDA"/>
    <w:rsid w:val="001D7A42"/>
    <w:rsid w:val="001F13B2"/>
    <w:rsid w:val="001F3C33"/>
    <w:rsid w:val="002131A2"/>
    <w:rsid w:val="00224BD2"/>
    <w:rsid w:val="0024376A"/>
    <w:rsid w:val="00271FF2"/>
    <w:rsid w:val="002A2CC1"/>
    <w:rsid w:val="002B3DBF"/>
    <w:rsid w:val="002B7EE7"/>
    <w:rsid w:val="002C66B8"/>
    <w:rsid w:val="002D27E3"/>
    <w:rsid w:val="002E06CC"/>
    <w:rsid w:val="002E2822"/>
    <w:rsid w:val="002F1BF3"/>
    <w:rsid w:val="00300E84"/>
    <w:rsid w:val="00306ABD"/>
    <w:rsid w:val="0031399C"/>
    <w:rsid w:val="0032002D"/>
    <w:rsid w:val="0032090A"/>
    <w:rsid w:val="003347A0"/>
    <w:rsid w:val="0034615F"/>
    <w:rsid w:val="00350FD5"/>
    <w:rsid w:val="00363FF7"/>
    <w:rsid w:val="00374252"/>
    <w:rsid w:val="00381783"/>
    <w:rsid w:val="00384613"/>
    <w:rsid w:val="003B1F29"/>
    <w:rsid w:val="003B25D9"/>
    <w:rsid w:val="003B6A32"/>
    <w:rsid w:val="003C430B"/>
    <w:rsid w:val="003C5F8E"/>
    <w:rsid w:val="003D0A37"/>
    <w:rsid w:val="003D2BE8"/>
    <w:rsid w:val="003D7F49"/>
    <w:rsid w:val="003E7AC1"/>
    <w:rsid w:val="003F5C35"/>
    <w:rsid w:val="00407F6F"/>
    <w:rsid w:val="004233A6"/>
    <w:rsid w:val="00425233"/>
    <w:rsid w:val="004735B2"/>
    <w:rsid w:val="004933E1"/>
    <w:rsid w:val="004A4179"/>
    <w:rsid w:val="004B499E"/>
    <w:rsid w:val="004C3AAC"/>
    <w:rsid w:val="004C4B41"/>
    <w:rsid w:val="004C68A7"/>
    <w:rsid w:val="004C6E76"/>
    <w:rsid w:val="004D47FD"/>
    <w:rsid w:val="004F0F91"/>
    <w:rsid w:val="004F712D"/>
    <w:rsid w:val="00500CB7"/>
    <w:rsid w:val="00506463"/>
    <w:rsid w:val="00537225"/>
    <w:rsid w:val="00551F7B"/>
    <w:rsid w:val="0055779B"/>
    <w:rsid w:val="00572601"/>
    <w:rsid w:val="00572B90"/>
    <w:rsid w:val="005922DB"/>
    <w:rsid w:val="005930A8"/>
    <w:rsid w:val="00600458"/>
    <w:rsid w:val="00600727"/>
    <w:rsid w:val="0060675C"/>
    <w:rsid w:val="00613393"/>
    <w:rsid w:val="00614B38"/>
    <w:rsid w:val="00630D0F"/>
    <w:rsid w:val="006312DF"/>
    <w:rsid w:val="0065086F"/>
    <w:rsid w:val="00670660"/>
    <w:rsid w:val="00691220"/>
    <w:rsid w:val="00694B87"/>
    <w:rsid w:val="006A508B"/>
    <w:rsid w:val="006B0D95"/>
    <w:rsid w:val="006F5647"/>
    <w:rsid w:val="007017A7"/>
    <w:rsid w:val="00705D67"/>
    <w:rsid w:val="0071673C"/>
    <w:rsid w:val="00725257"/>
    <w:rsid w:val="007369D8"/>
    <w:rsid w:val="00747483"/>
    <w:rsid w:val="007518A4"/>
    <w:rsid w:val="00784798"/>
    <w:rsid w:val="007909F6"/>
    <w:rsid w:val="00795C7A"/>
    <w:rsid w:val="007A3468"/>
    <w:rsid w:val="007A661F"/>
    <w:rsid w:val="007C3C2D"/>
    <w:rsid w:val="007D25B1"/>
    <w:rsid w:val="007D776B"/>
    <w:rsid w:val="007E13C8"/>
    <w:rsid w:val="007F1C4D"/>
    <w:rsid w:val="00804A39"/>
    <w:rsid w:val="0080674F"/>
    <w:rsid w:val="00810467"/>
    <w:rsid w:val="00813778"/>
    <w:rsid w:val="008176B2"/>
    <w:rsid w:val="00831C28"/>
    <w:rsid w:val="00840E42"/>
    <w:rsid w:val="00843159"/>
    <w:rsid w:val="0085372D"/>
    <w:rsid w:val="0087233E"/>
    <w:rsid w:val="0087249F"/>
    <w:rsid w:val="00877968"/>
    <w:rsid w:val="008C019B"/>
    <w:rsid w:val="008C3FD5"/>
    <w:rsid w:val="008E7193"/>
    <w:rsid w:val="008F0653"/>
    <w:rsid w:val="008F4F10"/>
    <w:rsid w:val="00902568"/>
    <w:rsid w:val="00914B2B"/>
    <w:rsid w:val="0092589D"/>
    <w:rsid w:val="00931479"/>
    <w:rsid w:val="009339B2"/>
    <w:rsid w:val="009402C6"/>
    <w:rsid w:val="00944772"/>
    <w:rsid w:val="009605E2"/>
    <w:rsid w:val="009761BB"/>
    <w:rsid w:val="00987965"/>
    <w:rsid w:val="00993E89"/>
    <w:rsid w:val="009A6C74"/>
    <w:rsid w:val="009C5FF3"/>
    <w:rsid w:val="009C6B48"/>
    <w:rsid w:val="009E46DE"/>
    <w:rsid w:val="00A07D3B"/>
    <w:rsid w:val="00A144C6"/>
    <w:rsid w:val="00A14624"/>
    <w:rsid w:val="00A35CE7"/>
    <w:rsid w:val="00A55684"/>
    <w:rsid w:val="00A7285E"/>
    <w:rsid w:val="00A81AFC"/>
    <w:rsid w:val="00A82732"/>
    <w:rsid w:val="00A96D61"/>
    <w:rsid w:val="00AA1CD0"/>
    <w:rsid w:val="00AB6AD6"/>
    <w:rsid w:val="00AB7C58"/>
    <w:rsid w:val="00AC029E"/>
    <w:rsid w:val="00AC501F"/>
    <w:rsid w:val="00AC7D05"/>
    <w:rsid w:val="00AD22CD"/>
    <w:rsid w:val="00AD5B04"/>
    <w:rsid w:val="00AD7B19"/>
    <w:rsid w:val="00AF22DE"/>
    <w:rsid w:val="00AF585F"/>
    <w:rsid w:val="00AF6713"/>
    <w:rsid w:val="00B0602E"/>
    <w:rsid w:val="00B07006"/>
    <w:rsid w:val="00B219DB"/>
    <w:rsid w:val="00B271AD"/>
    <w:rsid w:val="00B31FC8"/>
    <w:rsid w:val="00B34EE5"/>
    <w:rsid w:val="00B43D3B"/>
    <w:rsid w:val="00B702F1"/>
    <w:rsid w:val="00BA314B"/>
    <w:rsid w:val="00BC55A2"/>
    <w:rsid w:val="00BE743E"/>
    <w:rsid w:val="00BF6B4E"/>
    <w:rsid w:val="00C03EC6"/>
    <w:rsid w:val="00C12189"/>
    <w:rsid w:val="00C126FA"/>
    <w:rsid w:val="00C536DA"/>
    <w:rsid w:val="00C647AF"/>
    <w:rsid w:val="00C7019A"/>
    <w:rsid w:val="00C81AFB"/>
    <w:rsid w:val="00C84C9B"/>
    <w:rsid w:val="00CA20C4"/>
    <w:rsid w:val="00CA47E3"/>
    <w:rsid w:val="00CB15DB"/>
    <w:rsid w:val="00CB68C2"/>
    <w:rsid w:val="00CB726E"/>
    <w:rsid w:val="00CC0170"/>
    <w:rsid w:val="00CF7AC8"/>
    <w:rsid w:val="00D169F4"/>
    <w:rsid w:val="00D23414"/>
    <w:rsid w:val="00D23682"/>
    <w:rsid w:val="00D2506D"/>
    <w:rsid w:val="00D25769"/>
    <w:rsid w:val="00D40E47"/>
    <w:rsid w:val="00D57F7B"/>
    <w:rsid w:val="00D622AB"/>
    <w:rsid w:val="00D64E51"/>
    <w:rsid w:val="00D661A6"/>
    <w:rsid w:val="00D915D0"/>
    <w:rsid w:val="00DA03A8"/>
    <w:rsid w:val="00DA4851"/>
    <w:rsid w:val="00DA71AC"/>
    <w:rsid w:val="00DB4B38"/>
    <w:rsid w:val="00DC0FDF"/>
    <w:rsid w:val="00DD1A63"/>
    <w:rsid w:val="00DD2888"/>
    <w:rsid w:val="00DE173B"/>
    <w:rsid w:val="00DF5AA0"/>
    <w:rsid w:val="00E01226"/>
    <w:rsid w:val="00E028BA"/>
    <w:rsid w:val="00E1072A"/>
    <w:rsid w:val="00E1338A"/>
    <w:rsid w:val="00E3220A"/>
    <w:rsid w:val="00E4224C"/>
    <w:rsid w:val="00E55F3A"/>
    <w:rsid w:val="00E571BF"/>
    <w:rsid w:val="00E63BD8"/>
    <w:rsid w:val="00E65737"/>
    <w:rsid w:val="00E90FC0"/>
    <w:rsid w:val="00E91278"/>
    <w:rsid w:val="00E92B92"/>
    <w:rsid w:val="00E949D4"/>
    <w:rsid w:val="00EA1F61"/>
    <w:rsid w:val="00EB5E65"/>
    <w:rsid w:val="00EB7159"/>
    <w:rsid w:val="00EC1E32"/>
    <w:rsid w:val="00EC7E5B"/>
    <w:rsid w:val="00ED1DF4"/>
    <w:rsid w:val="00EE240B"/>
    <w:rsid w:val="00F3162D"/>
    <w:rsid w:val="00F320C3"/>
    <w:rsid w:val="00F709CD"/>
    <w:rsid w:val="00FA21A8"/>
    <w:rsid w:val="00FB084A"/>
    <w:rsid w:val="00FB3D97"/>
    <w:rsid w:val="00FD7471"/>
    <w:rsid w:val="00FE522F"/>
    <w:rsid w:val="00FE5BEC"/>
    <w:rsid w:val="00FF26E5"/>
    <w:rsid w:val="00FF6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61"/>
  </w:style>
  <w:style w:type="paragraph" w:styleId="Footer">
    <w:name w:val="footer"/>
    <w:basedOn w:val="Normal"/>
    <w:link w:val="FooterChar"/>
    <w:uiPriority w:val="99"/>
    <w:semiHidden/>
    <w:unhideWhenUsed/>
    <w:rsid w:val="00A96D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6D61"/>
  </w:style>
  <w:style w:type="character" w:styleId="Hyperlink">
    <w:name w:val="Hyperlink"/>
    <w:basedOn w:val="DefaultParagraphFont"/>
    <w:uiPriority w:val="99"/>
    <w:unhideWhenUsed/>
    <w:rsid w:val="004F0F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scis.gov/policymanual/Print/PolicyManual-Volume12-PartA.html#footnote-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ee.org/articles/assimilation-american-style-by-peter-d-salin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7</Pages>
  <Words>1745</Words>
  <Characters>9949</Characters>
  <Application>Microsoft Office Word</Application>
  <DocSecurity>0</DocSecurity>
  <Lines>82</Lines>
  <Paragraphs>23</Paragraphs>
  <ScaleCrop>false</ScaleCrop>
  <Company/>
  <LinksUpToDate>false</LinksUpToDate>
  <CharactersWithSpaces>11671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319</cp:revision>
  <dcterms:created xsi:type="dcterms:W3CDTF">2017-04-01T03:44:00Z</dcterms:created>
  <dcterms:modified xsi:type="dcterms:W3CDTF">2017-04-01T09:30:00Z</dcterms:modified>
</cp:coreProperties>
</file>