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EE" w:rsidRPr="009B0A13" w:rsidRDefault="006473DD" w:rsidP="00045BEE">
      <w:pPr>
        <w:shd w:val="clear" w:color="auto" w:fill="EEEEEE"/>
        <w:spacing w:after="0" w:line="240" w:lineRule="auto"/>
        <w:rPr>
          <w:rFonts w:ascii="inherit" w:eastAsia="Times New Roman" w:hAnsi="inherit" w:cs="Arial"/>
          <w:b/>
          <w:bCs/>
          <w:color w:val="999999"/>
          <w:sz w:val="18"/>
          <w:szCs w:val="18"/>
        </w:rPr>
      </w:pPr>
      <w:r w:rsidRPr="009B0A13">
        <w:rPr>
          <w:rFonts w:ascii="inherit" w:eastAsia="Times New Roman" w:hAnsi="inherit" w:cs="Arial"/>
          <w:b/>
          <w:bCs/>
          <w:color w:val="999999"/>
          <w:sz w:val="18"/>
          <w:szCs w:val="18"/>
        </w:rPr>
        <w:t>Thread:</w:t>
      </w:r>
    </w:p>
    <w:p w:rsidR="00045BEE" w:rsidRPr="009B0A13" w:rsidRDefault="006473DD" w:rsidP="00045BEE">
      <w:pPr>
        <w:shd w:val="clear" w:color="auto" w:fill="EEEEEE"/>
        <w:spacing w:after="0" w:line="240" w:lineRule="auto"/>
        <w:ind w:left="720"/>
        <w:rPr>
          <w:rFonts w:ascii="inherit" w:eastAsia="Times New Roman" w:hAnsi="inherit" w:cs="Arial"/>
          <w:color w:val="555555"/>
          <w:sz w:val="18"/>
          <w:szCs w:val="18"/>
        </w:rPr>
      </w:pPr>
      <w:r w:rsidRPr="009B0A13">
        <w:rPr>
          <w:rFonts w:ascii="inherit" w:eastAsia="Times New Roman" w:hAnsi="inherit" w:cs="Arial"/>
          <w:color w:val="555555"/>
          <w:sz w:val="18"/>
          <w:szCs w:val="18"/>
        </w:rPr>
        <w:t>Partnership</w:t>
      </w:r>
    </w:p>
    <w:p w:rsidR="00045BEE" w:rsidRPr="009B0A13" w:rsidRDefault="006473DD" w:rsidP="00045BEE">
      <w:pPr>
        <w:shd w:val="clear" w:color="auto" w:fill="EEEEEE"/>
        <w:spacing w:after="0" w:line="240" w:lineRule="auto"/>
        <w:ind w:left="120"/>
        <w:rPr>
          <w:rFonts w:ascii="inherit" w:eastAsia="Times New Roman" w:hAnsi="inherit" w:cs="Arial"/>
          <w:b/>
          <w:bCs/>
          <w:color w:val="999999"/>
          <w:sz w:val="18"/>
          <w:szCs w:val="18"/>
        </w:rPr>
      </w:pPr>
      <w:r w:rsidRPr="009B0A13">
        <w:rPr>
          <w:rFonts w:ascii="inherit" w:eastAsia="Times New Roman" w:hAnsi="inherit" w:cs="Arial"/>
          <w:b/>
          <w:bCs/>
          <w:color w:val="999999"/>
          <w:sz w:val="18"/>
          <w:szCs w:val="18"/>
        </w:rPr>
        <w:t>Post:</w:t>
      </w:r>
    </w:p>
    <w:p w:rsidR="00045BEE" w:rsidRPr="009B0A13" w:rsidRDefault="005F284D" w:rsidP="00045BEE">
      <w:pPr>
        <w:shd w:val="clear" w:color="auto" w:fill="EEEEEE"/>
        <w:spacing w:after="0" w:line="240" w:lineRule="auto"/>
        <w:ind w:left="720"/>
        <w:rPr>
          <w:rFonts w:ascii="inherit" w:eastAsia="Times New Roman" w:hAnsi="inherit" w:cs="Arial"/>
          <w:color w:val="555555"/>
          <w:sz w:val="18"/>
          <w:szCs w:val="18"/>
        </w:rPr>
      </w:pPr>
      <w:hyperlink r:id="rId5" w:history="1">
        <w:r w:rsidR="006473DD" w:rsidRPr="009B0A13">
          <w:rPr>
            <w:rFonts w:ascii="inherit" w:eastAsia="Times New Roman" w:hAnsi="inherit" w:cs="Arial"/>
            <w:color w:val="128FA8"/>
            <w:sz w:val="18"/>
            <w:szCs w:val="18"/>
            <w:u w:val="single"/>
            <w:bdr w:val="none" w:sz="0" w:space="0" w:color="auto" w:frame="1"/>
          </w:rPr>
          <w:t>Partnership</w:t>
        </w:r>
      </w:hyperlink>
    </w:p>
    <w:p w:rsidR="00045BEE" w:rsidRPr="009B0A13" w:rsidRDefault="006473DD" w:rsidP="00045BEE">
      <w:pPr>
        <w:shd w:val="clear" w:color="auto" w:fill="EEEEEE"/>
        <w:spacing w:after="0" w:line="240" w:lineRule="auto"/>
        <w:ind w:left="240"/>
        <w:rPr>
          <w:rFonts w:ascii="inherit" w:eastAsia="Times New Roman" w:hAnsi="inherit" w:cs="Arial"/>
          <w:b/>
          <w:bCs/>
          <w:color w:val="999999"/>
          <w:sz w:val="18"/>
          <w:szCs w:val="18"/>
        </w:rPr>
      </w:pPr>
      <w:r w:rsidRPr="009B0A13">
        <w:rPr>
          <w:rFonts w:ascii="inherit" w:eastAsia="Times New Roman" w:hAnsi="inherit" w:cs="Arial"/>
          <w:b/>
          <w:bCs/>
          <w:color w:val="999999"/>
          <w:sz w:val="18"/>
          <w:szCs w:val="18"/>
        </w:rPr>
        <w:t>Author:</w:t>
      </w:r>
    </w:p>
    <w:p w:rsidR="00045BEE" w:rsidRPr="009B0A13" w:rsidRDefault="006473DD" w:rsidP="00045BEE">
      <w:pPr>
        <w:shd w:val="clear" w:color="auto" w:fill="EEEEEE"/>
        <w:spacing w:after="0" w:line="240" w:lineRule="auto"/>
        <w:ind w:left="720"/>
        <w:rPr>
          <w:rFonts w:ascii="inherit" w:eastAsia="Times New Roman" w:hAnsi="inherit" w:cs="Arial"/>
          <w:color w:val="555555"/>
          <w:sz w:val="18"/>
          <w:szCs w:val="18"/>
        </w:rPr>
      </w:pPr>
      <w:r w:rsidRPr="009B0A13">
        <w:rPr>
          <w:rFonts w:ascii="inherit" w:eastAsia="Times New Roman" w:hAnsi="inherit" w:cs="Arial"/>
          <w:b/>
          <w:bCs/>
          <w:noProof/>
          <w:color w:val="555555"/>
          <w:sz w:val="20"/>
          <w:szCs w:val="20"/>
          <w:bdr w:val="none" w:sz="0" w:space="0" w:color="auto" w:frame="1"/>
        </w:rPr>
        <mc:AlternateContent>
          <mc:Choice Requires="wps">
            <w:drawing>
              <wp:inline distT="0" distB="0" distL="0" distR="0">
                <wp:extent cx="304800" cy="304800"/>
                <wp:effectExtent l="0" t="0" r="0" b="0"/>
                <wp:docPr id="1" name="Rectangle 1" descr="https://bb.snhu.edu/avatar/custom/user_258843_1/IMG_226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w15="http://schemas.microsoft.com/office/word/2012/wordml">
            <w:pict>
              <v:rect id="Rectangle 1" o:spid="_x0000_i1025" alt="Description: https://bb.snhu.edu/avatar/custom/user_258843_1/IMG_2265.jpg"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9B0A13">
        <w:rPr>
          <w:rFonts w:ascii="inherit" w:eastAsia="Times New Roman" w:hAnsi="inherit" w:cs="Arial"/>
          <w:b/>
          <w:bCs/>
          <w:color w:val="555555"/>
          <w:sz w:val="20"/>
          <w:szCs w:val="20"/>
          <w:bdr w:val="none" w:sz="0" w:space="0" w:color="auto" w:frame="1"/>
        </w:rPr>
        <w:t> Cristina Daaboul</w:t>
      </w:r>
    </w:p>
    <w:p w:rsidR="00045BEE" w:rsidRPr="009B0A13" w:rsidRDefault="006473DD" w:rsidP="00045BEE">
      <w:pPr>
        <w:shd w:val="clear" w:color="auto" w:fill="EEEEEE"/>
        <w:spacing w:after="0" w:line="240" w:lineRule="auto"/>
        <w:rPr>
          <w:rFonts w:ascii="inherit" w:eastAsia="Times New Roman" w:hAnsi="inherit" w:cs="Arial"/>
          <w:b/>
          <w:bCs/>
          <w:color w:val="999999"/>
          <w:sz w:val="18"/>
          <w:szCs w:val="18"/>
        </w:rPr>
      </w:pPr>
      <w:r w:rsidRPr="009B0A13">
        <w:rPr>
          <w:rFonts w:ascii="inherit" w:eastAsia="Times New Roman" w:hAnsi="inherit" w:cs="Arial"/>
          <w:b/>
          <w:bCs/>
          <w:color w:val="999999"/>
          <w:sz w:val="18"/>
          <w:szCs w:val="18"/>
        </w:rPr>
        <w:t>Posted Date:</w:t>
      </w:r>
    </w:p>
    <w:p w:rsidR="00045BEE" w:rsidRPr="009B0A13" w:rsidRDefault="006473DD" w:rsidP="00045BEE">
      <w:pPr>
        <w:shd w:val="clear" w:color="auto" w:fill="EEEEEE"/>
        <w:spacing w:after="0" w:line="240" w:lineRule="auto"/>
        <w:ind w:left="720"/>
        <w:rPr>
          <w:rFonts w:ascii="inherit" w:eastAsia="Times New Roman" w:hAnsi="inherit" w:cs="Arial"/>
          <w:color w:val="555555"/>
          <w:sz w:val="18"/>
          <w:szCs w:val="18"/>
        </w:rPr>
      </w:pPr>
      <w:r w:rsidRPr="009B0A13">
        <w:rPr>
          <w:rFonts w:ascii="inherit" w:eastAsia="Times New Roman" w:hAnsi="inherit" w:cs="Arial"/>
          <w:color w:val="555555"/>
          <w:sz w:val="18"/>
          <w:szCs w:val="18"/>
        </w:rPr>
        <w:t>February 6, 2017 4:46 PM</w:t>
      </w:r>
    </w:p>
    <w:p w:rsidR="00045BEE" w:rsidRPr="009B0A13" w:rsidRDefault="006473DD" w:rsidP="00045BEE">
      <w:pPr>
        <w:shd w:val="clear" w:color="auto" w:fill="EEEEEE"/>
        <w:spacing w:after="0" w:line="240" w:lineRule="auto"/>
        <w:ind w:left="120"/>
        <w:rPr>
          <w:rFonts w:ascii="inherit" w:eastAsia="Times New Roman" w:hAnsi="inherit" w:cs="Arial"/>
          <w:b/>
          <w:bCs/>
          <w:color w:val="999999"/>
          <w:sz w:val="18"/>
          <w:szCs w:val="18"/>
        </w:rPr>
      </w:pPr>
      <w:r w:rsidRPr="009B0A13">
        <w:rPr>
          <w:rFonts w:ascii="inherit" w:eastAsia="Times New Roman" w:hAnsi="inherit" w:cs="Arial"/>
          <w:b/>
          <w:bCs/>
          <w:color w:val="999999"/>
          <w:sz w:val="18"/>
          <w:szCs w:val="18"/>
        </w:rPr>
        <w:t>Status:</w:t>
      </w:r>
    </w:p>
    <w:p w:rsidR="00045BEE" w:rsidRPr="009B0A13" w:rsidRDefault="006473DD" w:rsidP="00045BEE">
      <w:pPr>
        <w:shd w:val="clear" w:color="auto" w:fill="EEEEEE"/>
        <w:spacing w:after="0" w:line="240" w:lineRule="auto"/>
        <w:ind w:left="720"/>
        <w:rPr>
          <w:rFonts w:ascii="inherit" w:eastAsia="Times New Roman" w:hAnsi="inherit" w:cs="Arial"/>
          <w:color w:val="555555"/>
          <w:sz w:val="18"/>
          <w:szCs w:val="18"/>
        </w:rPr>
      </w:pPr>
      <w:r w:rsidRPr="009B0A13">
        <w:rPr>
          <w:rFonts w:ascii="inherit" w:eastAsia="Times New Roman" w:hAnsi="inherit" w:cs="Arial"/>
          <w:color w:val="555555"/>
          <w:sz w:val="18"/>
          <w:szCs w:val="18"/>
        </w:rPr>
        <w:t>Published</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Partnership</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A settlement on the type of business entity to establish is instrumental to every person who wants to start a business. A correct choice of the corporate entity assists in optimizing the chances of operational and financial success (Crane &amp; Matten, 2016). This paper attempts to analyze a business case scenario by first identifying and addressing the pros and cons of each business entity type. Next, it recommends a particular business entity for Arcadia sports. Further, it determines the business entity type under which Jeb and Job would be individually liable for Jane’s damages. Finally, it analyzes the capability of Jeb’s personal creditors to confiscate Arcadia Sports assets.</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Business Entity Types; Advantages and Disadvantages</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The main types of business entities include sole proprietorship, limited partnership, general partnership, C corporations, and limited liability companies (Crane &amp; Matten, 2016).</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The main advantages of sole proprietorship encompass; easy to establish and maintain, fewer documents at the start and the owner gets all the profit. The disadvantages include: the proprietor is liable for any loss; raising capital is limited to the master (Crane &amp; Matten, 2016). The merits of partnership include improved management, a broad pool of knowledge and fundamentally easy to establish. The demerits include; the general partner entirely liable for secured debts (Crane &amp; Matten, 2016).</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Business Entity for Arcadia Sports</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The case scenario description places Arcadia Sports the position of a Limited Partnership (LP) form of business entity. LP business consists of at least a single general partner and at least one limited partner. Arguably, in Arcadia Sports, Josh is a general partner while Jeb is a limited partner. Josh is concerned with the daily management of business while Jeb is responsible for the provision of capital.</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Business Entity Liable for Jane’s Damages</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xml:space="preserve">            Under the LP, Josh assumes personal liability in the event Jane decides to sue Acadia Sports because limited partners are not individually responsible. Jeb would be forced to offset </w:t>
      </w:r>
      <w:r w:rsidRPr="009B0A13">
        <w:rPr>
          <w:rFonts w:ascii="Times New Roman" w:eastAsia="Times New Roman" w:hAnsi="Times New Roman" w:cs="Times New Roman"/>
          <w:color w:val="323131"/>
          <w:sz w:val="24"/>
          <w:szCs w:val="24"/>
          <w:bdr w:val="none" w:sz="0" w:space="0" w:color="auto" w:frame="1"/>
          <w:shd w:val="clear" w:color="auto" w:fill="FFFFFF"/>
        </w:rPr>
        <w:lastRenderedPageBreak/>
        <w:t>the business debts with individual assets. Unfortunately, Jeb can quickly lose monetary investment in the firm. In the event Josh and Jeb would have established a general partnership, they would have faced liability for the damages from rafting excursion of whitewater.</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For the case of sole proprietorship, the owner of the business is liable for all consequences of their operations (Crane &amp; Matten, 2016).</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Ability to Seize Assets</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323131"/>
          <w:sz w:val="24"/>
          <w:szCs w:val="24"/>
          <w:bdr w:val="none" w:sz="0" w:space="0" w:color="auto" w:frame="1"/>
          <w:shd w:val="clear" w:color="auto" w:fill="FFFFFF"/>
        </w:rPr>
        <w:t>            Based on the situation and facts available, the property of Jeb is free from seizure by the creditors in all the business ownership forms available.</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Conclusion</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b/>
          <w:bCs/>
          <w:color w:val="323131"/>
          <w:sz w:val="24"/>
          <w:szCs w:val="24"/>
          <w:bdr w:val="none" w:sz="0" w:space="0" w:color="auto" w:frame="1"/>
          <w:shd w:val="clear" w:color="auto" w:fill="FFFFFF"/>
        </w:rPr>
        <w:t>            </w:t>
      </w:r>
      <w:r w:rsidRPr="009B0A13">
        <w:rPr>
          <w:rFonts w:ascii="Times New Roman" w:eastAsia="Times New Roman" w:hAnsi="Times New Roman" w:cs="Times New Roman"/>
          <w:color w:val="323131"/>
          <w:sz w:val="24"/>
          <w:szCs w:val="24"/>
          <w:bdr w:val="none" w:sz="0" w:space="0" w:color="auto" w:frame="1"/>
          <w:shd w:val="clear" w:color="auto" w:fill="FFFFFF"/>
        </w:rPr>
        <w:t>Summarily, it is notable that the business entity is ideally chosen based on the agreement the partners and size of the firm. In this case, Josh and Jeb are suitable operating a limited partnership due to the accords at the inception of the business. Business liabilities and compensation are, to some extent, dependent on the type of business entity.</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444444"/>
          <w:sz w:val="24"/>
          <w:szCs w:val="24"/>
          <w:bdr w:val="none" w:sz="0" w:space="0" w:color="auto" w:frame="1"/>
        </w:rPr>
        <w:t> </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444444"/>
          <w:sz w:val="24"/>
          <w:szCs w:val="24"/>
          <w:bdr w:val="none" w:sz="0" w:space="0" w:color="auto" w:frame="1"/>
        </w:rPr>
        <w:t> </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444444"/>
          <w:sz w:val="24"/>
          <w:szCs w:val="24"/>
          <w:bdr w:val="none" w:sz="0" w:space="0" w:color="auto" w:frame="1"/>
        </w:rPr>
        <w:t> </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r w:rsidRPr="009B0A13">
        <w:rPr>
          <w:rFonts w:ascii="Times New Roman" w:eastAsia="Times New Roman" w:hAnsi="Times New Roman" w:cs="Times New Roman"/>
          <w:color w:val="444444"/>
          <w:sz w:val="24"/>
          <w:szCs w:val="24"/>
          <w:bdr w:val="none" w:sz="0" w:space="0" w:color="auto" w:frame="1"/>
        </w:rPr>
        <w:t> </w:t>
      </w:r>
    </w:p>
    <w:p w:rsidR="00045BEE" w:rsidRPr="009B0A13" w:rsidRDefault="006473DD" w:rsidP="00045BEE">
      <w:pPr>
        <w:shd w:val="clear" w:color="auto" w:fill="FFFFFF"/>
        <w:spacing w:after="0" w:line="390" w:lineRule="atLeast"/>
        <w:rPr>
          <w:rFonts w:ascii="inherit" w:eastAsia="Times New Roman" w:hAnsi="inherit" w:cs="Arial"/>
          <w:color w:val="444444"/>
          <w:sz w:val="20"/>
          <w:szCs w:val="20"/>
        </w:rPr>
      </w:pPr>
      <w:bookmarkStart w:id="0" w:name="_GoBack"/>
      <w:bookmarkEnd w:id="0"/>
      <w:r w:rsidRPr="009B0A13">
        <w:rPr>
          <w:rFonts w:ascii="Times New Roman" w:eastAsia="Times New Roman" w:hAnsi="Times New Roman" w:cs="Times New Roman"/>
          <w:color w:val="444444"/>
          <w:sz w:val="24"/>
          <w:szCs w:val="24"/>
          <w:bdr w:val="none" w:sz="0" w:space="0" w:color="auto" w:frame="1"/>
        </w:rPr>
        <w:t> </w:t>
      </w:r>
    </w:p>
    <w:p w:rsidR="00045BEE" w:rsidRPr="009B0A13" w:rsidRDefault="006473DD" w:rsidP="00045BEE">
      <w:pPr>
        <w:shd w:val="clear" w:color="auto" w:fill="FFFFFF"/>
        <w:spacing w:after="0" w:line="390" w:lineRule="atLeast"/>
        <w:jc w:val="center"/>
        <w:rPr>
          <w:rFonts w:ascii="inherit" w:eastAsia="Times New Roman" w:hAnsi="inherit" w:cs="Arial"/>
          <w:color w:val="444444"/>
          <w:sz w:val="20"/>
          <w:szCs w:val="20"/>
        </w:rPr>
      </w:pPr>
      <w:r w:rsidRPr="009B0A13">
        <w:rPr>
          <w:rFonts w:ascii="Times New Roman" w:eastAsia="Times New Roman" w:hAnsi="Times New Roman" w:cs="Times New Roman"/>
          <w:color w:val="444444"/>
          <w:sz w:val="24"/>
          <w:szCs w:val="24"/>
          <w:bdr w:val="none" w:sz="0" w:space="0" w:color="auto" w:frame="1"/>
        </w:rPr>
        <w:t>References</w:t>
      </w:r>
    </w:p>
    <w:p w:rsidR="00045BEE" w:rsidRDefault="006473DD" w:rsidP="00045BEE">
      <w:pPr>
        <w:shd w:val="clear" w:color="auto" w:fill="FFFFFF"/>
        <w:spacing w:after="0" w:line="390" w:lineRule="atLeast"/>
        <w:ind w:left="720" w:hanging="720"/>
        <w:rPr>
          <w:rFonts w:ascii="Times New Roman" w:eastAsia="Times New Roman" w:hAnsi="Times New Roman" w:cs="Times New Roman"/>
          <w:color w:val="444444"/>
          <w:sz w:val="24"/>
          <w:szCs w:val="24"/>
          <w:bdr w:val="none" w:sz="0" w:space="0" w:color="auto" w:frame="1"/>
        </w:rPr>
      </w:pPr>
      <w:r w:rsidRPr="009B0A13">
        <w:rPr>
          <w:rFonts w:ascii="Times New Roman" w:eastAsia="Times New Roman" w:hAnsi="Times New Roman" w:cs="Times New Roman"/>
          <w:color w:val="444444"/>
          <w:sz w:val="24"/>
          <w:szCs w:val="24"/>
          <w:bdr w:val="none" w:sz="0" w:space="0" w:color="auto" w:frame="1"/>
        </w:rPr>
        <w:t>Crane, A., &amp; Matten, D. (2016). </w:t>
      </w:r>
      <w:r w:rsidRPr="009B0A13">
        <w:rPr>
          <w:rFonts w:ascii="Times New Roman" w:eastAsia="Times New Roman" w:hAnsi="Times New Roman" w:cs="Times New Roman"/>
          <w:i/>
          <w:iCs/>
          <w:color w:val="444444"/>
          <w:sz w:val="24"/>
          <w:szCs w:val="24"/>
          <w:bdr w:val="none" w:sz="0" w:space="0" w:color="auto" w:frame="1"/>
        </w:rPr>
        <w:t>Business ethics: Managing corporate citizenship and sustainability in the age of globalization</w:t>
      </w:r>
      <w:r w:rsidRPr="009B0A13">
        <w:rPr>
          <w:rFonts w:ascii="Times New Roman" w:eastAsia="Times New Roman" w:hAnsi="Times New Roman" w:cs="Times New Roman"/>
          <w:color w:val="444444"/>
          <w:sz w:val="24"/>
          <w:szCs w:val="24"/>
          <w:bdr w:val="none" w:sz="0" w:space="0" w:color="auto" w:frame="1"/>
        </w:rPr>
        <w:t>. Oxford University Press.</w:t>
      </w:r>
    </w:p>
    <w:p w:rsidR="00045BEE" w:rsidRDefault="005F284D" w:rsidP="00045BEE">
      <w:pPr>
        <w:shd w:val="clear" w:color="auto" w:fill="FFFFFF"/>
        <w:spacing w:after="0" w:line="390" w:lineRule="atLeast"/>
        <w:ind w:left="720" w:hanging="720"/>
        <w:rPr>
          <w:rFonts w:ascii="Times New Roman" w:eastAsia="Times New Roman" w:hAnsi="Times New Roman" w:cs="Times New Roman"/>
          <w:color w:val="444444"/>
          <w:sz w:val="24"/>
          <w:szCs w:val="24"/>
          <w:bdr w:val="none" w:sz="0" w:space="0" w:color="auto" w:frame="1"/>
        </w:rPr>
      </w:pPr>
    </w:p>
    <w:p w:rsidR="00045BEE" w:rsidRPr="00A33050" w:rsidRDefault="006473DD" w:rsidP="00045BEE">
      <w:pPr>
        <w:spacing w:line="480" w:lineRule="auto"/>
        <w:jc w:val="center"/>
        <w:rPr>
          <w:rFonts w:ascii="Times New Roman" w:hAnsi="Times New Roman" w:cs="Times New Roman"/>
          <w:b/>
          <w:sz w:val="24"/>
          <w:szCs w:val="24"/>
        </w:rPr>
      </w:pPr>
      <w:r w:rsidRPr="00A33050">
        <w:rPr>
          <w:rFonts w:ascii="Times New Roman" w:hAnsi="Times New Roman" w:cs="Times New Roman"/>
          <w:b/>
          <w:sz w:val="24"/>
          <w:szCs w:val="24"/>
        </w:rPr>
        <w:t>Critique</w:t>
      </w:r>
    </w:p>
    <w:p w:rsidR="005F284D" w:rsidRDefault="005F284D" w:rsidP="006473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business between Jeb and Josh is a limited partnership due to the facts available but since we have not been provided with the agreement between the two when they opened </w:t>
      </w:r>
      <w:proofErr w:type="spellStart"/>
      <w:r>
        <w:rPr>
          <w:rFonts w:ascii="Times New Roman" w:hAnsi="Times New Roman" w:cs="Times New Roman"/>
          <w:sz w:val="24"/>
          <w:szCs w:val="24"/>
        </w:rPr>
        <w:t>Acardia</w:t>
      </w:r>
      <w:proofErr w:type="spellEnd"/>
      <w:r>
        <w:rPr>
          <w:rFonts w:ascii="Times New Roman" w:hAnsi="Times New Roman" w:cs="Times New Roman"/>
          <w:sz w:val="24"/>
          <w:szCs w:val="24"/>
        </w:rPr>
        <w:t xml:space="preserve"> Sport, then the two partners will be held responsible for the injury that Jane had. Jane will sue the entire business and not one partner. Moreover, since the agreement of the business is not provided and the business is a partnership, Jeb’s creditors will confiscate the property of the entire business because in a partnership an individual is liable for the debts of the other partner. If they had a limited liability company, the creditors would take the assets of Jeb to the extent of ownership in the company. </w:t>
      </w:r>
    </w:p>
    <w:p w:rsidR="005F284D" w:rsidRDefault="005F284D" w:rsidP="006473DD">
      <w:pPr>
        <w:spacing w:line="480" w:lineRule="auto"/>
        <w:ind w:firstLine="720"/>
        <w:rPr>
          <w:rFonts w:ascii="Times New Roman" w:hAnsi="Times New Roman" w:cs="Times New Roman"/>
          <w:sz w:val="24"/>
          <w:szCs w:val="24"/>
        </w:rPr>
      </w:pPr>
    </w:p>
    <w:p w:rsidR="005F284D" w:rsidRDefault="005F284D" w:rsidP="006473DD">
      <w:pPr>
        <w:spacing w:line="480" w:lineRule="auto"/>
        <w:ind w:firstLine="720"/>
        <w:rPr>
          <w:rFonts w:ascii="Times New Roman" w:hAnsi="Times New Roman" w:cs="Times New Roman"/>
          <w:sz w:val="24"/>
          <w:szCs w:val="24"/>
        </w:rPr>
      </w:pPr>
    </w:p>
    <w:p w:rsidR="005F284D" w:rsidRDefault="005F284D" w:rsidP="006473DD">
      <w:pPr>
        <w:spacing w:line="480" w:lineRule="auto"/>
        <w:ind w:firstLine="720"/>
        <w:rPr>
          <w:rFonts w:ascii="Times New Roman" w:hAnsi="Times New Roman" w:cs="Times New Roman"/>
          <w:sz w:val="24"/>
          <w:szCs w:val="24"/>
        </w:rPr>
      </w:pPr>
    </w:p>
    <w:p w:rsidR="005F284D" w:rsidRDefault="005F284D" w:rsidP="006473DD">
      <w:pPr>
        <w:spacing w:line="480" w:lineRule="auto"/>
        <w:ind w:firstLine="720"/>
        <w:rPr>
          <w:rFonts w:ascii="Times New Roman" w:hAnsi="Times New Roman" w:cs="Times New Roman"/>
          <w:sz w:val="24"/>
          <w:szCs w:val="24"/>
        </w:rPr>
      </w:pPr>
    </w:p>
    <w:p w:rsidR="005F284D" w:rsidRDefault="005F284D" w:rsidP="006473DD">
      <w:pPr>
        <w:spacing w:line="480" w:lineRule="auto"/>
        <w:ind w:firstLine="720"/>
        <w:rPr>
          <w:rFonts w:ascii="Times New Roman" w:hAnsi="Times New Roman" w:cs="Times New Roman"/>
          <w:sz w:val="24"/>
          <w:szCs w:val="24"/>
        </w:rPr>
      </w:pPr>
    </w:p>
    <w:p w:rsidR="000A10B2" w:rsidRDefault="005F284D"/>
    <w:sectPr w:rsidR="000A10B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CD"/>
    <w:rsid w:val="005F284D"/>
    <w:rsid w:val="00622276"/>
    <w:rsid w:val="006473DD"/>
    <w:rsid w:val="00E9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2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2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b.snhu.edu/webapps/discussionboard/do/message?action=list_messages&amp;forum_id=_1046318_1&amp;nav=discussion_board_entry&amp;conf_id=_189990_1&amp;course_id=_105489_1&amp;message_id=_36757771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2017-02-07T20:51:00Z</dcterms:created>
  <dcterms:modified xsi:type="dcterms:W3CDTF">2017-02-11T05:38:00Z</dcterms:modified>
</cp:coreProperties>
</file>