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C5" w:rsidRPr="00AB10E9" w:rsidRDefault="003D4CC5"/>
    <w:p w:rsidR="003D4CC5" w:rsidRPr="00AB10E9" w:rsidRDefault="003D4CC5"/>
    <w:p w:rsidR="003D4CC5" w:rsidRPr="00AB10E9" w:rsidRDefault="003D4CC5"/>
    <w:p w:rsidR="003D4CC5" w:rsidRPr="00AB10E9" w:rsidRDefault="003D4CC5"/>
    <w:p w:rsidR="003D4CC5" w:rsidRPr="00AB10E9" w:rsidRDefault="003D4CC5"/>
    <w:p w:rsidR="003D4CC5" w:rsidRPr="00AB10E9" w:rsidRDefault="003D4CC5"/>
    <w:p w:rsidR="003D4CC5" w:rsidRPr="00AB10E9" w:rsidRDefault="003D4CC5"/>
    <w:p w:rsidR="003D4CC5" w:rsidRPr="00AB10E9" w:rsidRDefault="003D4CC5" w:rsidP="003D4CC5">
      <w:pPr>
        <w:jc w:val="center"/>
      </w:pPr>
    </w:p>
    <w:p w:rsidR="003D4CC5" w:rsidRPr="00AB10E9" w:rsidRDefault="003D4CC5" w:rsidP="003D4CC5">
      <w:pPr>
        <w:jc w:val="center"/>
      </w:pPr>
    </w:p>
    <w:p w:rsidR="003D4CC5" w:rsidRPr="00AB10E9" w:rsidRDefault="003D4CC5" w:rsidP="003D4CC5">
      <w:pPr>
        <w:jc w:val="center"/>
      </w:pPr>
    </w:p>
    <w:p w:rsidR="003D4CC5" w:rsidRPr="00AB10E9" w:rsidRDefault="003D4CC5" w:rsidP="003D4CC5">
      <w:pPr>
        <w:jc w:val="center"/>
      </w:pPr>
    </w:p>
    <w:p w:rsidR="003D4CC5" w:rsidRPr="00AB10E9" w:rsidRDefault="003D4CC5" w:rsidP="003D4CC5">
      <w:pPr>
        <w:jc w:val="center"/>
      </w:pPr>
    </w:p>
    <w:p w:rsidR="001A1573" w:rsidRPr="00AB10E9" w:rsidRDefault="00E32F92" w:rsidP="003D4CC5">
      <w:pPr>
        <w:jc w:val="center"/>
      </w:pPr>
      <w:r w:rsidRPr="00AB10E9">
        <w:t>Syrian Nationalism</w:t>
      </w:r>
    </w:p>
    <w:p w:rsidR="003D4CC5" w:rsidRPr="00AB10E9" w:rsidRDefault="003D4CC5"/>
    <w:p w:rsidR="003D4CC5" w:rsidRPr="00AB10E9" w:rsidRDefault="003D4CC5"/>
    <w:p w:rsidR="003D4CC5" w:rsidRPr="00AB10E9" w:rsidRDefault="003D4CC5"/>
    <w:p w:rsidR="003D4CC5" w:rsidRPr="00AB10E9" w:rsidRDefault="003D4CC5"/>
    <w:p w:rsidR="007C7098" w:rsidRPr="00AB10E9" w:rsidRDefault="00BE3561">
      <w:pPr>
        <w:rPr>
          <w:b/>
        </w:rPr>
      </w:pPr>
      <w:r w:rsidRPr="00AB10E9">
        <w:rPr>
          <w:b/>
        </w:rPr>
        <w:lastRenderedPageBreak/>
        <w:t>Syria</w:t>
      </w:r>
    </w:p>
    <w:p w:rsidR="00BE3561" w:rsidRPr="00AB10E9" w:rsidRDefault="003F3092" w:rsidP="008D41AF">
      <w:pPr>
        <w:ind w:firstLine="720"/>
        <w:contextualSpacing/>
      </w:pPr>
      <w:r w:rsidRPr="00AB10E9">
        <w:t>In the Middle East, Syria is one country that continues to experience political turmoil, whose genesis can be traced back centuries ago.</w:t>
      </w:r>
      <w:r w:rsidR="0084797F" w:rsidRPr="00AB10E9">
        <w:rPr>
          <w:rStyle w:val="FootnoteReference"/>
        </w:rPr>
        <w:footnoteReference w:id="2"/>
      </w:r>
      <w:r w:rsidRPr="00AB10E9">
        <w:t xml:space="preserve"> Being located in the Middle East, Syria </w:t>
      </w:r>
      <w:r w:rsidR="00FC4CA5" w:rsidRPr="00AB10E9">
        <w:t xml:space="preserve">closely relates to other countries such as </w:t>
      </w:r>
      <w:r w:rsidR="002F61F0" w:rsidRPr="00AB10E9">
        <w:t xml:space="preserve">Turkey, </w:t>
      </w:r>
      <w:r w:rsidR="00F53CB7" w:rsidRPr="00AB10E9">
        <w:t xml:space="preserve">Iraq, Jordan, and Israel. </w:t>
      </w:r>
      <w:r w:rsidR="00B16BD2" w:rsidRPr="00AB10E9">
        <w:t xml:space="preserve">Its location is also not extremely far from Egypt in Africa and these countries have had their political influences connected. </w:t>
      </w:r>
      <w:r w:rsidR="00E829ED" w:rsidRPr="00AB10E9">
        <w:t xml:space="preserve">Syria’s problems can be understood by evaluating the factors that may have influenced the current situation and this will </w:t>
      </w:r>
      <w:r w:rsidR="00075A90" w:rsidRPr="00AB10E9">
        <w:t xml:space="preserve">include evaluating the agreement between Britain and </w:t>
      </w:r>
      <w:r w:rsidR="00806D88" w:rsidRPr="00AB10E9">
        <w:t>France, which</w:t>
      </w:r>
      <w:r w:rsidR="00075A90" w:rsidRPr="00AB10E9">
        <w:t xml:space="preserve"> </w:t>
      </w:r>
      <w:r w:rsidR="00C61EDF" w:rsidRPr="00AB10E9">
        <w:t xml:space="preserve">entailed the sharing of regions in the Syrian region between these two countries. </w:t>
      </w:r>
    </w:p>
    <w:p w:rsidR="00A37C45" w:rsidRPr="00AB10E9" w:rsidRDefault="00A37C45" w:rsidP="008D41AF">
      <w:pPr>
        <w:contextualSpacing/>
      </w:pPr>
    </w:p>
    <w:p w:rsidR="00A37C45" w:rsidRPr="00AB10E9" w:rsidRDefault="008D41AF">
      <w:pPr>
        <w:contextualSpacing/>
        <w:rPr>
          <w:b/>
        </w:rPr>
      </w:pPr>
      <w:r w:rsidRPr="00AB10E9">
        <w:rPr>
          <w:b/>
        </w:rPr>
        <w:t>The impact on the Sykes and Picot secret agreement</w:t>
      </w:r>
      <w:r w:rsidR="00A37C45" w:rsidRPr="00AB10E9">
        <w:rPr>
          <w:b/>
        </w:rPr>
        <w:t xml:space="preserve"> </w:t>
      </w:r>
    </w:p>
    <w:p w:rsidR="00A37C45" w:rsidRPr="00AB10E9" w:rsidRDefault="001B1500" w:rsidP="002F6583">
      <w:pPr>
        <w:ind w:firstLine="720"/>
        <w:contextualSpacing/>
      </w:pPr>
      <w:r w:rsidRPr="00AB10E9">
        <w:t>In the 20</w:t>
      </w:r>
      <w:r w:rsidR="0019129F" w:rsidRPr="00AB10E9">
        <w:t xml:space="preserve">th century, in the second </w:t>
      </w:r>
      <w:r w:rsidR="00C249D3" w:rsidRPr="00AB10E9">
        <w:t xml:space="preserve">decade to be precise, the British and French forces formulated a plan to map the </w:t>
      </w:r>
      <w:r w:rsidR="004311CA" w:rsidRPr="00AB10E9">
        <w:t>region that defines to</w:t>
      </w:r>
      <w:r w:rsidR="00C249D3" w:rsidRPr="00AB10E9">
        <w:t>day</w:t>
      </w:r>
      <w:r w:rsidR="004311CA" w:rsidRPr="00AB10E9">
        <w:t>’s</w:t>
      </w:r>
      <w:r w:rsidR="00C249D3" w:rsidRPr="00AB10E9">
        <w:t xml:space="preserve"> Middle East.</w:t>
      </w:r>
      <w:r w:rsidR="00B371E6" w:rsidRPr="00AB10E9">
        <w:rPr>
          <w:rStyle w:val="FootnoteReference"/>
        </w:rPr>
        <w:footnoteReference w:id="3"/>
      </w:r>
      <w:r w:rsidR="00C249D3" w:rsidRPr="00AB10E9">
        <w:t xml:space="preserve"> </w:t>
      </w:r>
      <w:r w:rsidR="00722A45" w:rsidRPr="00AB10E9">
        <w:t xml:space="preserve">The people responsible for drawing the map are </w:t>
      </w:r>
      <w:r w:rsidR="003F6A4A" w:rsidRPr="00AB10E9">
        <w:t xml:space="preserve">Mark </w:t>
      </w:r>
      <w:r w:rsidR="00722A45" w:rsidRPr="00AB10E9">
        <w:t xml:space="preserve">Sykes and </w:t>
      </w:r>
      <w:r w:rsidR="003F6A4A" w:rsidRPr="00AB10E9">
        <w:t>Georges-</w:t>
      </w:r>
      <w:r w:rsidR="00722A45" w:rsidRPr="00AB10E9">
        <w:t>Picot</w:t>
      </w:r>
      <w:r w:rsidR="00B271C8" w:rsidRPr="00AB10E9">
        <w:t xml:space="preserve">, who </w:t>
      </w:r>
      <w:r w:rsidR="009D0027" w:rsidRPr="00AB10E9">
        <w:t xml:space="preserve">had </w:t>
      </w:r>
      <w:r w:rsidR="003F6A4A" w:rsidRPr="00AB10E9">
        <w:t xml:space="preserve">intimate Middle East knowledge, and they </w:t>
      </w:r>
      <w:r w:rsidR="00325FDE" w:rsidRPr="00AB10E9">
        <w:t>represented the British and French</w:t>
      </w:r>
      <w:r w:rsidR="00EA5FE5" w:rsidRPr="00AB10E9">
        <w:t xml:space="preserve"> governments respectively.</w:t>
      </w:r>
      <w:r w:rsidR="007859B6" w:rsidRPr="00AB10E9">
        <w:rPr>
          <w:rStyle w:val="FootnoteReference"/>
        </w:rPr>
        <w:footnoteReference w:id="4"/>
      </w:r>
      <w:r w:rsidR="00EA5FE5" w:rsidRPr="00AB10E9">
        <w:t xml:space="preserve"> </w:t>
      </w:r>
      <w:r w:rsidR="00FE3073" w:rsidRPr="00AB10E9">
        <w:t xml:space="preserve">These two men were </w:t>
      </w:r>
      <w:r w:rsidR="00CB163C" w:rsidRPr="00AB10E9">
        <w:t>archetypal</w:t>
      </w:r>
      <w:r w:rsidR="00FE3073" w:rsidRPr="00AB10E9">
        <w:t xml:space="preserve">, </w:t>
      </w:r>
      <w:r w:rsidR="00CB163C" w:rsidRPr="00AB10E9">
        <w:t>lord</w:t>
      </w:r>
      <w:r w:rsidR="00FE3073" w:rsidRPr="00AB10E9">
        <w:t xml:space="preserve">s, and </w:t>
      </w:r>
      <w:r w:rsidR="00CB163C" w:rsidRPr="00AB10E9">
        <w:t>experienced</w:t>
      </w:r>
      <w:r w:rsidR="00FE3073" w:rsidRPr="00AB10E9">
        <w:t xml:space="preserve"> in colonial administration</w:t>
      </w:r>
      <w:r w:rsidR="00852ADA" w:rsidRPr="00AB10E9">
        <w:t>,</w:t>
      </w:r>
      <w:r w:rsidR="00FE3073" w:rsidRPr="00AB10E9">
        <w:t xml:space="preserve"> and believed that the </w:t>
      </w:r>
      <w:r w:rsidR="00FE3073" w:rsidRPr="00AB10E9">
        <w:lastRenderedPageBreak/>
        <w:t>lives of the people in the Middle East</w:t>
      </w:r>
      <w:r w:rsidR="00C627C9" w:rsidRPr="00AB10E9">
        <w:t xml:space="preserve"> could greatly improve if left under the care of the European empires. </w:t>
      </w:r>
      <w:r w:rsidR="00722A45" w:rsidRPr="00AB10E9">
        <w:t xml:space="preserve"> </w:t>
      </w:r>
    </w:p>
    <w:p w:rsidR="00960693" w:rsidRPr="00AB10E9" w:rsidRDefault="00960693">
      <w:pPr>
        <w:contextualSpacing/>
      </w:pPr>
    </w:p>
    <w:p w:rsidR="00960693" w:rsidRPr="00AB10E9" w:rsidRDefault="00960693">
      <w:pPr>
        <w:contextualSpacing/>
        <w:rPr>
          <w:i/>
        </w:rPr>
      </w:pPr>
      <w:r w:rsidRPr="00AB10E9">
        <w:rPr>
          <w:i/>
        </w:rPr>
        <w:t>An illustration of the map showing the borders drafted by Sykes and Picot</w:t>
      </w:r>
    </w:p>
    <w:p w:rsidR="00960693" w:rsidRPr="00AB10E9" w:rsidRDefault="00960693" w:rsidP="00960693">
      <w:pPr>
        <w:contextualSpacing/>
        <w:jc w:val="center"/>
      </w:pPr>
      <w:r w:rsidRPr="00AB10E9">
        <w:rPr>
          <w:noProof/>
        </w:rPr>
        <w:drawing>
          <wp:inline distT="0" distB="0" distL="0" distR="0">
            <wp:extent cx="2250442" cy="1917511"/>
            <wp:effectExtent l="19050" t="0" r="0" b="0"/>
            <wp:docPr id="1" name="Picture 1" descr="http://www.inss.org.il/uploadImages/systemFiles/insight822_small.jpg?maxwidth=200&amp;maxheight=1200&amp;quality=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ss.org.il/uploadImages/systemFiles/insight822_small.jpg?maxwidth=200&amp;maxheight=1200&amp;quality=80"/>
                    <pic:cNvPicPr>
                      <a:picLocks noChangeAspect="1" noChangeArrowheads="1"/>
                    </pic:cNvPicPr>
                  </pic:nvPicPr>
                  <pic:blipFill>
                    <a:blip r:embed="rId6"/>
                    <a:srcRect/>
                    <a:stretch>
                      <a:fillRect/>
                    </a:stretch>
                  </pic:blipFill>
                  <pic:spPr bwMode="auto">
                    <a:xfrm>
                      <a:off x="0" y="0"/>
                      <a:ext cx="2250305" cy="1917394"/>
                    </a:xfrm>
                    <a:prstGeom prst="rect">
                      <a:avLst/>
                    </a:prstGeom>
                    <a:noFill/>
                    <a:ln w="9525">
                      <a:noFill/>
                      <a:miter lim="800000"/>
                      <a:headEnd/>
                      <a:tailEnd/>
                    </a:ln>
                  </pic:spPr>
                </pic:pic>
              </a:graphicData>
            </a:graphic>
          </wp:inline>
        </w:drawing>
      </w:r>
      <w:r w:rsidR="00BD4F9B" w:rsidRPr="00AB10E9">
        <w:t xml:space="preserve"> </w:t>
      </w:r>
    </w:p>
    <w:p w:rsidR="00BD4F9B" w:rsidRPr="00AB10E9" w:rsidRDefault="003A02A1" w:rsidP="00960693">
      <w:pPr>
        <w:contextualSpacing/>
        <w:jc w:val="center"/>
      </w:pPr>
      <w:r w:rsidRPr="00AB10E9">
        <w:t>France controlled</w:t>
      </w:r>
      <w:r w:rsidR="00BD4F9B" w:rsidRPr="00AB10E9">
        <w:t xml:space="preserve"> section A, while Britain section B</w:t>
      </w:r>
    </w:p>
    <w:p w:rsidR="00960693" w:rsidRPr="00AB10E9" w:rsidRDefault="007F75EF">
      <w:pPr>
        <w:contextualSpacing/>
      </w:pPr>
      <w:r w:rsidRPr="00AB10E9">
        <w:t>(</w:t>
      </w:r>
      <w:r w:rsidR="00CD33FB" w:rsidRPr="00AB10E9">
        <w:t>Sour</w:t>
      </w:r>
      <w:r w:rsidR="00927803" w:rsidRPr="00AB10E9">
        <w:t>ce:</w:t>
      </w:r>
      <w:r w:rsidRPr="00AB10E9">
        <w:t>)</w:t>
      </w:r>
      <w:r w:rsidR="00927803" w:rsidRPr="00AB10E9">
        <w:rPr>
          <w:rStyle w:val="FootnoteReference"/>
        </w:rPr>
        <w:footnoteReference w:id="5"/>
      </w:r>
    </w:p>
    <w:p w:rsidR="00523F7F" w:rsidRPr="00AB10E9" w:rsidRDefault="00DB79C0" w:rsidP="00DE7FA3">
      <w:pPr>
        <w:ind w:firstLine="720"/>
        <w:contextualSpacing/>
      </w:pPr>
      <w:r w:rsidRPr="00AB10E9">
        <w:t>Sykes and Picot hastily drafted the s</w:t>
      </w:r>
      <w:r w:rsidR="006E0E2D" w:rsidRPr="00AB10E9">
        <w:t>traight border lines that proved significantly helpful to Britain and France in the first fifty years of the twentieth century. However, these straight lines affected the people of the region</w:t>
      </w:r>
      <w:r w:rsidR="002E130B" w:rsidRPr="00AB10E9">
        <w:t xml:space="preserve"> because of the diversity of their ethnicity. </w:t>
      </w:r>
      <w:r w:rsidR="004E7807" w:rsidRPr="00AB10E9">
        <w:t>The map divided the region under Ottoman rule, at that time, thus relegating the existing political entities into two influential spheres.</w:t>
      </w:r>
      <w:r w:rsidR="007701FC" w:rsidRPr="00AB10E9">
        <w:rPr>
          <w:rStyle w:val="FootnoteReference"/>
        </w:rPr>
        <w:footnoteReference w:id="6"/>
      </w:r>
      <w:r w:rsidR="004E7807" w:rsidRPr="00AB10E9">
        <w:t xml:space="preserve"> One </w:t>
      </w:r>
      <w:r w:rsidR="00402B21" w:rsidRPr="00AB10E9">
        <w:t>of the spheres constituted Transjordan</w:t>
      </w:r>
      <w:r w:rsidR="004E7807" w:rsidRPr="00AB10E9">
        <w:t xml:space="preserve">, Iraq, and Palestine, </w:t>
      </w:r>
      <w:r w:rsidR="004E7807" w:rsidRPr="00AB10E9">
        <w:lastRenderedPageBreak/>
        <w:t>which fell under the British rule and influence, and Lebanon and Syria, which fell under French power and influence.</w:t>
      </w:r>
      <w:r w:rsidR="00CE439D" w:rsidRPr="00AB10E9">
        <w:rPr>
          <w:rStyle w:val="FootnoteReference"/>
        </w:rPr>
        <w:footnoteReference w:id="7"/>
      </w:r>
      <w:r w:rsidR="004E7807" w:rsidRPr="00AB10E9">
        <w:t xml:space="preserve"> </w:t>
      </w:r>
    </w:p>
    <w:p w:rsidR="00093CCB" w:rsidRPr="00AB10E9" w:rsidRDefault="00B03540" w:rsidP="00DE7FA3">
      <w:pPr>
        <w:ind w:firstLine="720"/>
        <w:contextualSpacing/>
      </w:pPr>
      <w:r w:rsidRPr="00AB10E9">
        <w:t xml:space="preserve">Furthermore, </w:t>
      </w:r>
      <w:r w:rsidR="00093CCB" w:rsidRPr="00AB10E9">
        <w:t>it is worth noting that the segregation of the region by France and Britain into zones never considered the local peoples and their socio-cultural, demographic, and religious concepts.</w:t>
      </w:r>
      <w:r w:rsidR="00263C0F" w:rsidRPr="00AB10E9">
        <w:rPr>
          <w:rStyle w:val="FootnoteReference"/>
        </w:rPr>
        <w:footnoteReference w:id="8"/>
      </w:r>
      <w:r w:rsidR="00093CCB" w:rsidRPr="00AB10E9">
        <w:t xml:space="preserve"> After the mapping out of the region, various nomadic Arab tribes found out they were separated and dispersed into different states.</w:t>
      </w:r>
      <w:r w:rsidR="008D5153" w:rsidRPr="00AB10E9">
        <w:rPr>
          <w:rStyle w:val="FootnoteReference"/>
        </w:rPr>
        <w:footnoteReference w:id="9"/>
      </w:r>
      <w:r w:rsidR="00093CCB" w:rsidRPr="00AB10E9">
        <w:t xml:space="preserve"> This separation led to negative response towards the central government, and contributed to the strengthening of the Alawite minority group in the populous Sunni region in Syria. Additionally, the segregation also contributed to the supremacy of the Sunni minority over the populous Shiite in Iraq.  </w:t>
      </w:r>
    </w:p>
    <w:p w:rsidR="00B03540" w:rsidRPr="00AB10E9" w:rsidRDefault="00B03540" w:rsidP="00DE7FA3">
      <w:pPr>
        <w:ind w:firstLine="720"/>
        <w:contextualSpacing/>
      </w:pPr>
    </w:p>
    <w:p w:rsidR="00402B21" w:rsidRPr="00AB10E9" w:rsidRDefault="00741708" w:rsidP="00DE7FA3">
      <w:pPr>
        <w:ind w:firstLine="720"/>
        <w:contextualSpacing/>
      </w:pPr>
      <w:r w:rsidRPr="00AB10E9">
        <w:t>However, there were challenges with the Sykes and Picot plan that favored the British and French authorities over the region’s local people.</w:t>
      </w:r>
      <w:r w:rsidR="00E941D4" w:rsidRPr="00AB10E9">
        <w:rPr>
          <w:rStyle w:val="FootnoteReference"/>
        </w:rPr>
        <w:footnoteReference w:id="10"/>
      </w:r>
      <w:r w:rsidRPr="00AB10E9">
        <w:t xml:space="preserve"> </w:t>
      </w:r>
      <w:r w:rsidR="0068483F" w:rsidRPr="00AB10E9">
        <w:t xml:space="preserve">Whereas the pact affected the local region, Sykes and Picot made sure it remained secret. </w:t>
      </w:r>
      <w:r w:rsidR="00EB7700" w:rsidRPr="00AB10E9">
        <w:t>This statement means that the drawing of the border lines never involved the Arabic community</w:t>
      </w:r>
      <w:r w:rsidR="00572A23" w:rsidRPr="00AB10E9">
        <w:t xml:space="preserve"> in gathering their views regarding the plan. </w:t>
      </w:r>
      <w:r w:rsidR="00976496" w:rsidRPr="00AB10E9">
        <w:t xml:space="preserve">By keeping the plan a secret, the Arab community in the region became vulnerable because they </w:t>
      </w:r>
      <w:r w:rsidR="00976496" w:rsidRPr="00AB10E9">
        <w:lastRenderedPageBreak/>
        <w:t xml:space="preserve">could easily ‘trespass’ to a rival’s geographical region without their knowledge, thus suffering consequences. </w:t>
      </w:r>
      <w:r w:rsidR="002F085F" w:rsidRPr="00AB10E9">
        <w:t xml:space="preserve">Moreover, the border plan </w:t>
      </w:r>
      <w:r w:rsidR="00F537B1" w:rsidRPr="00AB10E9">
        <w:t xml:space="preserve">went against Britain chief promise towards the Arabs in 1910, which promised the Arabs that they would get their independence if they contributed to the fall of the Ottoman </w:t>
      </w:r>
      <w:r w:rsidR="005362F2" w:rsidRPr="00AB10E9">
        <w:t>Empire</w:t>
      </w:r>
      <w:r w:rsidR="00F537B1" w:rsidRPr="00AB10E9">
        <w:t xml:space="preserve"> by rebelling against them. </w:t>
      </w:r>
    </w:p>
    <w:p w:rsidR="00A9040E" w:rsidRPr="00AB10E9" w:rsidRDefault="003F360B" w:rsidP="00DE7FA3">
      <w:pPr>
        <w:ind w:firstLine="720"/>
        <w:contextualSpacing/>
      </w:pPr>
      <w:r w:rsidRPr="00AB10E9">
        <w:t xml:space="preserve">Another challenge brought about by </w:t>
      </w:r>
      <w:r w:rsidR="002E0800" w:rsidRPr="00AB10E9">
        <w:t>the Sykes and Picot plan lay</w:t>
      </w:r>
      <w:r w:rsidR="00E95BD4" w:rsidRPr="00AB10E9">
        <w:t xml:space="preserve"> in the ethnic diversity of the population. It can be observed that the straight-line approach used </w:t>
      </w:r>
      <w:r w:rsidR="005A3D5A" w:rsidRPr="00AB10E9">
        <w:t xml:space="preserve">by Sykes and Picot had the potential of dividing the Levant on a sectarian </w:t>
      </w:r>
      <w:r w:rsidR="008B3D06" w:rsidRPr="00AB10E9">
        <w:t xml:space="preserve">foundation. For example, Lebanon was envisioned a Christians’ haven mainly due to Druze and Maronites. The Bekaa valley, the border between the two regions, remained under the influence of the Shia Muslims, while the Palestine region fell under the Jewish community. </w:t>
      </w:r>
      <w:r w:rsidR="00487533" w:rsidRPr="00AB10E9">
        <w:t xml:space="preserve">Moreover, geography favored Syria with its </w:t>
      </w:r>
      <w:r w:rsidR="000E2897" w:rsidRPr="00AB10E9">
        <w:t>leading</w:t>
      </w:r>
      <w:r w:rsidR="00487533" w:rsidRPr="00AB10E9">
        <w:t xml:space="preserve"> sectarian demographic to </w:t>
      </w:r>
      <w:r w:rsidR="00992ADF" w:rsidRPr="00AB10E9">
        <w:t xml:space="preserve">house Sunni Muslims. </w:t>
      </w:r>
    </w:p>
    <w:p w:rsidR="00A1107C" w:rsidRPr="00AB10E9" w:rsidRDefault="00106B18">
      <w:pPr>
        <w:contextualSpacing/>
        <w:rPr>
          <w:b/>
        </w:rPr>
      </w:pPr>
      <w:r w:rsidRPr="00AB10E9">
        <w:rPr>
          <w:b/>
        </w:rPr>
        <w:t>An overview of the Sykes and Picot agreement</w:t>
      </w:r>
    </w:p>
    <w:p w:rsidR="00106B18" w:rsidRPr="00AB10E9" w:rsidRDefault="00741907" w:rsidP="00EB7A3A">
      <w:pPr>
        <w:ind w:firstLine="720"/>
        <w:contextualSpacing/>
      </w:pPr>
      <w:r w:rsidRPr="00AB10E9">
        <w:t xml:space="preserve">The agreement indicated that Great Britain and France </w:t>
      </w:r>
      <w:r w:rsidR="005C2CAA" w:rsidRPr="00AB10E9">
        <w:t xml:space="preserve">stood ready to </w:t>
      </w:r>
      <w:r w:rsidR="00A5191E" w:rsidRPr="00AB10E9">
        <w:t>identify</w:t>
      </w:r>
      <w:r w:rsidR="005C2CAA" w:rsidRPr="00AB10E9">
        <w:t xml:space="preserve"> and </w:t>
      </w:r>
      <w:r w:rsidR="00A5191E" w:rsidRPr="00AB10E9">
        <w:t>defend a</w:t>
      </w:r>
      <w:r w:rsidR="005C2CAA" w:rsidRPr="00AB10E9">
        <w:t xml:space="preserve"> </w:t>
      </w:r>
      <w:r w:rsidR="00A5191E" w:rsidRPr="00AB10E9">
        <w:t>sovereign</w:t>
      </w:r>
      <w:r w:rsidR="005C2CAA" w:rsidRPr="00AB10E9">
        <w:t xml:space="preserve"> Arab State or a</w:t>
      </w:r>
      <w:r w:rsidR="00CD06C5" w:rsidRPr="00AB10E9">
        <w:t>n</w:t>
      </w:r>
      <w:r w:rsidR="005C2CAA" w:rsidRPr="00AB10E9">
        <w:t xml:space="preserve"> </w:t>
      </w:r>
      <w:r w:rsidR="00CD06C5" w:rsidRPr="00AB10E9">
        <w:t>amalgamation</w:t>
      </w:r>
      <w:r w:rsidR="005C2CAA" w:rsidRPr="00AB10E9">
        <w:t xml:space="preserve"> of Arab States</w:t>
      </w:r>
      <w:r w:rsidR="00CD06C5" w:rsidRPr="00AB10E9">
        <w:t xml:space="preserve"> based on the (a) and (b) markings on the </w:t>
      </w:r>
      <w:r w:rsidR="00234E1C" w:rsidRPr="00AB10E9">
        <w:t>presented</w:t>
      </w:r>
      <w:r w:rsidR="001620CA" w:rsidRPr="00AB10E9">
        <w:t xml:space="preserve"> map, under the Arab chief suzerainty.</w:t>
      </w:r>
      <w:r w:rsidR="00E454F4" w:rsidRPr="00AB10E9">
        <w:rPr>
          <w:rStyle w:val="FootnoteReference"/>
        </w:rPr>
        <w:footnoteReference w:id="11"/>
      </w:r>
      <w:r w:rsidR="001620CA" w:rsidRPr="00AB10E9">
        <w:t xml:space="preserve"> </w:t>
      </w:r>
      <w:r w:rsidR="00480F6F" w:rsidRPr="00AB10E9">
        <w:t xml:space="preserve">Additionally, the agreement indicated that these two regions should enjoy </w:t>
      </w:r>
      <w:r w:rsidR="007C3E81" w:rsidRPr="00AB10E9">
        <w:t>precedence</w:t>
      </w:r>
      <w:r w:rsidR="00480F6F" w:rsidRPr="00AB10E9">
        <w:t xml:space="preserve"> of right of </w:t>
      </w:r>
      <w:r w:rsidR="006E5244" w:rsidRPr="00AB10E9">
        <w:t>venture</w:t>
      </w:r>
      <w:r w:rsidR="00480F6F" w:rsidRPr="00AB10E9">
        <w:t xml:space="preserve"> and local loans. </w:t>
      </w:r>
      <w:r w:rsidR="005D1F56" w:rsidRPr="00AB10E9">
        <w:t xml:space="preserve">It is also worth noting that </w:t>
      </w:r>
      <w:r w:rsidR="00511ADF" w:rsidRPr="00AB10E9">
        <w:t xml:space="preserve">that Great Britain and France shall be the only authorities with the mandate to supply foreign functionaries and advisers </w:t>
      </w:r>
      <w:r w:rsidR="00FE48CA" w:rsidRPr="00AB10E9">
        <w:t xml:space="preserve">at the Arab state request. </w:t>
      </w:r>
    </w:p>
    <w:p w:rsidR="000831CD" w:rsidRPr="00AB10E9" w:rsidRDefault="000831CD">
      <w:pPr>
        <w:contextualSpacing/>
        <w:rPr>
          <w:b/>
        </w:rPr>
      </w:pPr>
      <w:r w:rsidRPr="00AB10E9">
        <w:rPr>
          <w:b/>
        </w:rPr>
        <w:t xml:space="preserve">Further challenges </w:t>
      </w:r>
      <w:r w:rsidR="00903AC9" w:rsidRPr="00AB10E9">
        <w:rPr>
          <w:b/>
        </w:rPr>
        <w:t xml:space="preserve">of the Sykes and </w:t>
      </w:r>
      <w:r w:rsidR="00E454F4" w:rsidRPr="00AB10E9">
        <w:rPr>
          <w:b/>
        </w:rPr>
        <w:t>Picot agreement</w:t>
      </w:r>
    </w:p>
    <w:p w:rsidR="00986F54" w:rsidRPr="00AB10E9" w:rsidRDefault="00986F54" w:rsidP="00EB7A3A">
      <w:pPr>
        <w:ind w:firstLine="720"/>
        <w:contextualSpacing/>
      </w:pPr>
      <w:r w:rsidRPr="00AB10E9">
        <w:lastRenderedPageBreak/>
        <w:t xml:space="preserve">It is worth mentioning </w:t>
      </w:r>
      <w:r w:rsidR="0032531A" w:rsidRPr="00AB10E9">
        <w:t>that the</w:t>
      </w:r>
      <w:r w:rsidRPr="00AB10E9">
        <w:t xml:space="preserve"> region constituting the current Syria belonged to France</w:t>
      </w:r>
      <w:r w:rsidR="00970249" w:rsidRPr="00AB10E9">
        <w:t xml:space="preserve"> under the plan courtesy as a </w:t>
      </w:r>
      <w:r w:rsidRPr="00AB10E9">
        <w:t xml:space="preserve">mandate </w:t>
      </w:r>
      <w:r w:rsidR="00970249" w:rsidRPr="00AB10E9">
        <w:t>by the League of Nations.</w:t>
      </w:r>
      <w:r w:rsidR="00075040" w:rsidRPr="00AB10E9">
        <w:rPr>
          <w:rStyle w:val="FootnoteReference"/>
        </w:rPr>
        <w:footnoteReference w:id="12"/>
      </w:r>
      <w:r w:rsidR="00970249" w:rsidRPr="00AB10E9">
        <w:t xml:space="preserve"> The mandate contained a provision stipulating that the territory awarded to France would be prepared for eventual sovereignty. However, the secret British-French agreement contained the terms of association in the region and it meant that the French control would </w:t>
      </w:r>
      <w:r w:rsidR="00EE1B9A" w:rsidRPr="00AB10E9">
        <w:t>exasperate</w:t>
      </w:r>
      <w:r w:rsidR="00970249" w:rsidRPr="00AB10E9">
        <w:t xml:space="preserve"> British-Arab </w:t>
      </w:r>
      <w:r w:rsidR="00EE1B9A" w:rsidRPr="00AB10E9">
        <w:t>associates</w:t>
      </w:r>
      <w:r w:rsidR="004A26A6" w:rsidRPr="00AB10E9">
        <w:t>.</w:t>
      </w:r>
      <w:r w:rsidR="00EE1B9A" w:rsidRPr="00AB10E9">
        <w:t xml:space="preserve"> The mandate of the French side in Syria</w:t>
      </w:r>
      <w:r w:rsidR="005F317F" w:rsidRPr="00AB10E9">
        <w:t xml:space="preserve"> surpassed the current region constitution modern Syria encompassing Lebanon and Hatay, a province in Turkey. </w:t>
      </w:r>
      <w:r w:rsidR="002D05D6" w:rsidRPr="00AB10E9">
        <w:t xml:space="preserve">The French authorities </w:t>
      </w:r>
      <w:r w:rsidR="00A144D9" w:rsidRPr="00AB10E9">
        <w:t xml:space="preserve">decided to </w:t>
      </w:r>
      <w:r w:rsidR="00E034F7" w:rsidRPr="00AB10E9">
        <w:t>reorganize</w:t>
      </w:r>
      <w:r w:rsidR="00A144D9" w:rsidRPr="00AB10E9">
        <w:t xml:space="preserve"> the geographical </w:t>
      </w:r>
      <w:r w:rsidR="00E034F7" w:rsidRPr="00AB10E9">
        <w:t>chunk</w:t>
      </w:r>
      <w:r w:rsidR="00A144D9" w:rsidRPr="00AB10E9">
        <w:t>s of their new region</w:t>
      </w:r>
      <w:r w:rsidR="00E034F7" w:rsidRPr="00AB10E9">
        <w:t xml:space="preserve"> </w:t>
      </w:r>
      <w:r w:rsidR="00E560FE" w:rsidRPr="00AB10E9">
        <w:t>through the generation of statel</w:t>
      </w:r>
      <w:r w:rsidR="002E1E9C" w:rsidRPr="00AB10E9">
        <w:t xml:space="preserve">ets, whereby religion partly became the foundation. </w:t>
      </w:r>
      <w:r w:rsidR="007D2B9F" w:rsidRPr="00AB10E9">
        <w:t>For example, the French authorities deemed it appropriate to have the Alawite region governed separately, as well as, the mountainous Druze region towards the south.</w:t>
      </w:r>
      <w:r w:rsidR="00F66286" w:rsidRPr="00AB10E9">
        <w:rPr>
          <w:rStyle w:val="FootnoteReference"/>
        </w:rPr>
        <w:footnoteReference w:id="13"/>
      </w:r>
      <w:r w:rsidR="007D2B9F" w:rsidRPr="00AB10E9">
        <w:t xml:space="preserve"> The French authorities also deemed it appropriate </w:t>
      </w:r>
      <w:r w:rsidR="00972D9A" w:rsidRPr="00AB10E9">
        <w:t xml:space="preserve">to constitute a political space for the Maronites, the most populous Christian group in the region. This decision </w:t>
      </w:r>
      <w:r w:rsidR="001265A9" w:rsidRPr="00AB10E9">
        <w:t xml:space="preserve">relied on the realization that the Ottoman Empire, which ruled the </w:t>
      </w:r>
      <w:r w:rsidR="008277BF" w:rsidRPr="00AB10E9">
        <w:t xml:space="preserve">region prior to the British-French agreement, permitted the Maronite group a scope of sovereignty. </w:t>
      </w:r>
      <w:r w:rsidR="003B54CF" w:rsidRPr="00AB10E9">
        <w:t>When the French authorities received this region from the agreement contents, they decided to expand it and generation a Greater Lebanon that included Sunni, Shia, and Dr</w:t>
      </w:r>
      <w:r w:rsidR="002F7C43" w:rsidRPr="00AB10E9">
        <w:t>uze districts, but continued to</w:t>
      </w:r>
      <w:r w:rsidR="003B54CF" w:rsidRPr="00AB10E9">
        <w:t xml:space="preserve"> </w:t>
      </w:r>
      <w:r w:rsidR="002F7C43" w:rsidRPr="00AB10E9">
        <w:t>preserve</w:t>
      </w:r>
      <w:r w:rsidR="003B54CF" w:rsidRPr="00AB10E9">
        <w:t xml:space="preserve"> a Christian majority. </w:t>
      </w:r>
    </w:p>
    <w:p w:rsidR="00075D57" w:rsidRPr="00AB10E9" w:rsidRDefault="00FC3CCD" w:rsidP="00EB7A3A">
      <w:pPr>
        <w:ind w:firstLine="720"/>
        <w:contextualSpacing/>
      </w:pPr>
      <w:r w:rsidRPr="00AB10E9">
        <w:t xml:space="preserve">It is worth noting that the segmentation of the French Syria became </w:t>
      </w:r>
      <w:r w:rsidR="00EB74C0" w:rsidRPr="00AB10E9">
        <w:t>unpopular</w:t>
      </w:r>
      <w:r w:rsidRPr="00AB10E9">
        <w:t xml:space="preserve"> to the local community, as well a</w:t>
      </w:r>
      <w:r w:rsidR="00B75D4A" w:rsidRPr="00AB10E9">
        <w:t>s, the French policies that the local community</w:t>
      </w:r>
      <w:r w:rsidR="00EB74C0" w:rsidRPr="00AB10E9">
        <w:t xml:space="preserve"> detested. </w:t>
      </w:r>
      <w:r w:rsidR="009E2F44" w:rsidRPr="00AB10E9">
        <w:t xml:space="preserve">The unpopularity </w:t>
      </w:r>
      <w:r w:rsidR="009E2F44" w:rsidRPr="00AB10E9">
        <w:lastRenderedPageBreak/>
        <w:t xml:space="preserve">of the policies led to anger towards the imperial rule, which </w:t>
      </w:r>
      <w:r w:rsidR="009E2EED" w:rsidRPr="00AB10E9">
        <w:t xml:space="preserve">further led to the eruption of the Great Syrian Revolt emanating from Druze. </w:t>
      </w:r>
    </w:p>
    <w:p w:rsidR="00075D57" w:rsidRPr="00AB10E9" w:rsidRDefault="00DC1917">
      <w:pPr>
        <w:contextualSpacing/>
        <w:rPr>
          <w:b/>
        </w:rPr>
      </w:pPr>
      <w:r w:rsidRPr="00AB10E9">
        <w:rPr>
          <w:b/>
        </w:rPr>
        <w:t>Boutros al-Boustani and the Syrian Nationalism</w:t>
      </w:r>
    </w:p>
    <w:p w:rsidR="004578F0" w:rsidRPr="00AB10E9" w:rsidRDefault="00423142" w:rsidP="00EB7A3A">
      <w:pPr>
        <w:ind w:firstLine="720"/>
        <w:contextualSpacing/>
      </w:pPr>
      <w:r w:rsidRPr="00AB10E9">
        <w:t>Born in 1819</w:t>
      </w:r>
      <w:r w:rsidR="009F2738" w:rsidRPr="00AB10E9">
        <w:t xml:space="preserve">, Al-Boustani played a significant role in the </w:t>
      </w:r>
      <w:r w:rsidR="002D297F" w:rsidRPr="00AB10E9">
        <w:t>Syrian nationalism</w:t>
      </w:r>
      <w:r w:rsidR="00117DA9" w:rsidRPr="00AB10E9">
        <w:t>.</w:t>
      </w:r>
      <w:r w:rsidR="0010051F" w:rsidRPr="00AB10E9">
        <w:rPr>
          <w:rStyle w:val="FootnoteReference"/>
        </w:rPr>
        <w:footnoteReference w:id="14"/>
      </w:r>
      <w:r w:rsidR="00117DA9" w:rsidRPr="00AB10E9">
        <w:t xml:space="preserve"> His role can be understood by comprehending how the Ottoman Empire operated in the region. It can be observed that </w:t>
      </w:r>
      <w:r w:rsidR="00287361" w:rsidRPr="00AB10E9">
        <w:t xml:space="preserve">the Ottoman Turks dominated the Middle East from the onset of the sixteenth century. </w:t>
      </w:r>
      <w:r w:rsidR="00282345" w:rsidRPr="00AB10E9">
        <w:t xml:space="preserve">The dominance contributed to the emergence of an authentic cultural renaissance </w:t>
      </w:r>
      <w:r w:rsidR="008001A3" w:rsidRPr="00AB10E9">
        <w:t>that started in the m</w:t>
      </w:r>
      <w:r w:rsidR="004578F0" w:rsidRPr="00AB10E9">
        <w:t>iddle of the nineteenth century, and it also worth noting that politics, trade, and culture between the Eastern and Western regions heightened it.</w:t>
      </w:r>
      <w:r w:rsidR="00395837" w:rsidRPr="00AB10E9">
        <w:rPr>
          <w:rStyle w:val="FootnoteReference"/>
        </w:rPr>
        <w:footnoteReference w:id="15"/>
      </w:r>
      <w:r w:rsidR="004578F0" w:rsidRPr="00AB10E9">
        <w:t xml:space="preserve"> </w:t>
      </w:r>
    </w:p>
    <w:p w:rsidR="00DC1917" w:rsidRPr="00AB10E9" w:rsidRDefault="005703A1" w:rsidP="00EB7A3A">
      <w:pPr>
        <w:ind w:firstLine="720"/>
        <w:contextualSpacing/>
      </w:pPr>
      <w:r w:rsidRPr="00AB10E9">
        <w:t>Al-Boustani</w:t>
      </w:r>
      <w:r w:rsidR="004578F0" w:rsidRPr="00AB10E9">
        <w:t>, as a pioneer of the Syrian Nationalism played an imperative role in the region by advocating the application of the Arabic language in the region for communication pur</w:t>
      </w:r>
      <w:r w:rsidRPr="00AB10E9">
        <w:t>poses.</w:t>
      </w:r>
      <w:r w:rsidRPr="00AB10E9">
        <w:rPr>
          <w:rStyle w:val="FootnoteReference"/>
        </w:rPr>
        <w:footnoteReference w:id="16"/>
      </w:r>
      <w:r w:rsidRPr="00AB10E9">
        <w:t xml:space="preserve"> According to Al-Boustani</w:t>
      </w:r>
      <w:r w:rsidR="004578F0" w:rsidRPr="00AB10E9">
        <w:t xml:space="preserve">, the Ottoman Turks </w:t>
      </w:r>
      <w:r w:rsidR="0043216C" w:rsidRPr="00AB10E9">
        <w:t xml:space="preserve">did not regard Syria with the respect it deserved because they neglected the </w:t>
      </w:r>
      <w:r w:rsidR="00F33395" w:rsidRPr="00AB10E9">
        <w:t>use of the Arabic langua</w:t>
      </w:r>
      <w:r w:rsidRPr="00AB10E9">
        <w:t>ge in the country. Al-Boustani</w:t>
      </w:r>
      <w:r w:rsidR="00F33395" w:rsidRPr="00AB10E9">
        <w:t xml:space="preserve"> wanted the region to gain from the knowledge acquired from the European countries and he believed that the best way was through th</w:t>
      </w:r>
      <w:r w:rsidR="004672DC" w:rsidRPr="00AB10E9">
        <w:t>e use of the Arabic language.</w:t>
      </w:r>
      <w:r w:rsidR="002B120D" w:rsidRPr="00AB10E9">
        <w:rPr>
          <w:rStyle w:val="FootnoteReference"/>
        </w:rPr>
        <w:footnoteReference w:id="17"/>
      </w:r>
      <w:r w:rsidR="004672DC" w:rsidRPr="00AB10E9">
        <w:t xml:space="preserve"> </w:t>
      </w:r>
      <w:r w:rsidRPr="00AB10E9">
        <w:t>Al-Boustani</w:t>
      </w:r>
      <w:r w:rsidR="00895336" w:rsidRPr="00AB10E9">
        <w:t xml:space="preserve"> </w:t>
      </w:r>
      <w:r w:rsidR="004602DE" w:rsidRPr="00AB10E9">
        <w:t xml:space="preserve">showed conviction that the Arabic language could be used as identity for the Syrian community and also heighten and enhance learning of vital technical and social elements from the European </w:t>
      </w:r>
      <w:r w:rsidR="004602DE" w:rsidRPr="00AB10E9">
        <w:lastRenderedPageBreak/>
        <w:t xml:space="preserve">countries. These elements would thus assist Syrians in gaining </w:t>
      </w:r>
      <w:r w:rsidR="00DB080E" w:rsidRPr="00AB10E9">
        <w:t xml:space="preserve">enhanced knowledge and understanding of trade and political concepts that would eventually assist Syria to attain economic growth in the region. </w:t>
      </w:r>
      <w:r w:rsidR="0057085F" w:rsidRPr="00AB10E9">
        <w:t>Additionally</w:t>
      </w:r>
      <w:r w:rsidRPr="00AB10E9">
        <w:t>, Al-Boustani</w:t>
      </w:r>
      <w:r w:rsidR="004A10E4" w:rsidRPr="00AB10E9">
        <w:t xml:space="preserve"> believed that the progress of the community of the Middle East would highly depend on their capability to attain education goals</w:t>
      </w:r>
      <w:r w:rsidR="00615F22" w:rsidRPr="00AB10E9">
        <w:t>, which a common Arabic language would enhance.</w:t>
      </w:r>
      <w:r w:rsidR="00470034" w:rsidRPr="00AB10E9">
        <w:rPr>
          <w:rStyle w:val="FootnoteReference"/>
        </w:rPr>
        <w:footnoteReference w:id="18"/>
      </w:r>
      <w:r w:rsidR="00615F22" w:rsidRPr="00AB10E9">
        <w:t xml:space="preserve"> </w:t>
      </w:r>
    </w:p>
    <w:p w:rsidR="00184503" w:rsidRPr="00AB10E9" w:rsidRDefault="00184503" w:rsidP="00EB7A3A">
      <w:pPr>
        <w:ind w:firstLine="720"/>
        <w:contextualSpacing/>
      </w:pPr>
      <w:r w:rsidRPr="00AB10E9">
        <w:t>Furthermore, Al-Boustani</w:t>
      </w:r>
      <w:r w:rsidR="0083529D" w:rsidRPr="00AB10E9">
        <w:t xml:space="preserve"> believed that education could be the tool for excellence in Syria. Through education, al-Boustani believed that the human mind </w:t>
      </w:r>
      <w:r w:rsidR="005F528C" w:rsidRPr="00AB10E9">
        <w:t xml:space="preserve">grew and saved a generation from ignorance, which he considered responsible for all evils affecting the Middle East region. </w:t>
      </w:r>
      <w:r w:rsidR="00FB1E87" w:rsidRPr="00AB10E9">
        <w:t xml:space="preserve">When educated, al-Boustani believed that the minds of the young generation in Syria </w:t>
      </w:r>
      <w:r w:rsidR="007429CC" w:rsidRPr="00AB10E9">
        <w:t>would</w:t>
      </w:r>
      <w:r w:rsidR="00FB1E87" w:rsidRPr="00AB10E9">
        <w:t xml:space="preserve"> understand how to forge for a united country </w:t>
      </w:r>
      <w:r w:rsidR="00A965D4" w:rsidRPr="00AB10E9">
        <w:t xml:space="preserve">founded on unshaken </w:t>
      </w:r>
      <w:r w:rsidR="00D15102" w:rsidRPr="00AB10E9">
        <w:t>concepts that would have the capability of resisting</w:t>
      </w:r>
      <w:r w:rsidR="00E52A3B" w:rsidRPr="00AB10E9">
        <w:t xml:space="preserve"> dangerous religious </w:t>
      </w:r>
      <w:r w:rsidR="00195A79" w:rsidRPr="00AB10E9">
        <w:t>fervor</w:t>
      </w:r>
      <w:r w:rsidR="00E52A3B" w:rsidRPr="00AB10E9">
        <w:t>s.</w:t>
      </w:r>
      <w:r w:rsidR="0058115D" w:rsidRPr="00AB10E9">
        <w:rPr>
          <w:rStyle w:val="FootnoteReference"/>
        </w:rPr>
        <w:footnoteReference w:id="19"/>
      </w:r>
      <w:r w:rsidR="00E52A3B" w:rsidRPr="00AB10E9">
        <w:t xml:space="preserve"> </w:t>
      </w:r>
      <w:r w:rsidR="000E6FBE" w:rsidRPr="00AB10E9">
        <w:t xml:space="preserve">Moreover, al-Boustani believed that education </w:t>
      </w:r>
      <w:r w:rsidR="00C3489C" w:rsidRPr="00AB10E9">
        <w:t>had a vital ro</w:t>
      </w:r>
      <w:r w:rsidR="005F0A5E" w:rsidRPr="00AB10E9">
        <w:t xml:space="preserve">le of eliminating </w:t>
      </w:r>
      <w:r w:rsidR="00C3489C" w:rsidRPr="00AB10E9">
        <w:t xml:space="preserve">feudalism. </w:t>
      </w:r>
      <w:r w:rsidR="00EB7250" w:rsidRPr="00AB10E9">
        <w:t xml:space="preserve">In al-Boustani’s mind, education possessed a great potential of </w:t>
      </w:r>
      <w:r w:rsidR="006229BF" w:rsidRPr="00AB10E9">
        <w:t xml:space="preserve">enlightening the community about the constituents of development and how to ensure a country attains its desired economic goals. Through education, the young generation would come to understand how </w:t>
      </w:r>
      <w:r w:rsidR="0016794C" w:rsidRPr="00AB10E9">
        <w:t xml:space="preserve">developed countries </w:t>
      </w:r>
      <w:r w:rsidR="00322CD2" w:rsidRPr="00AB10E9">
        <w:t xml:space="preserve">run their economies to attain </w:t>
      </w:r>
      <w:r w:rsidR="00ED671D" w:rsidRPr="00AB10E9">
        <w:t xml:space="preserve">elevated statuses. </w:t>
      </w:r>
      <w:r w:rsidR="004A79C4" w:rsidRPr="00AB10E9">
        <w:t xml:space="preserve">Thus, it is through education that </w:t>
      </w:r>
      <w:r w:rsidR="005633B2" w:rsidRPr="00AB10E9">
        <w:t xml:space="preserve">misconceptions </w:t>
      </w:r>
      <w:r w:rsidR="006D1FA5" w:rsidRPr="00AB10E9">
        <w:t xml:space="preserve">regarding a country’s civic elements would be eliminated. </w:t>
      </w:r>
      <w:r w:rsidR="006854DF" w:rsidRPr="00AB10E9">
        <w:t xml:space="preserve">Al-Boustani based his argument on the understanding that human beings </w:t>
      </w:r>
      <w:r w:rsidR="00983E35" w:rsidRPr="00AB10E9">
        <w:t>were social creatures that could not manage to live in isolation.</w:t>
      </w:r>
      <w:r w:rsidR="0058115D" w:rsidRPr="00AB10E9">
        <w:rPr>
          <w:rStyle w:val="FootnoteReference"/>
        </w:rPr>
        <w:footnoteReference w:id="20"/>
      </w:r>
      <w:r w:rsidR="00983E35" w:rsidRPr="00AB10E9">
        <w:t xml:space="preserve"> Thus, through the social congregation, people tend to form governments through which authorities are shared</w:t>
      </w:r>
      <w:r w:rsidR="00F811B8" w:rsidRPr="00AB10E9">
        <w:t xml:space="preserve"> with the intention of achieving their intended objectives. </w:t>
      </w:r>
      <w:r w:rsidR="009F3BFE" w:rsidRPr="00AB10E9">
        <w:t xml:space="preserve">Al-Boustani believed that governments </w:t>
      </w:r>
      <w:r w:rsidR="00E917DB" w:rsidRPr="00AB10E9">
        <w:lastRenderedPageBreak/>
        <w:t xml:space="preserve">need the principles’ corpus to make decisions and </w:t>
      </w:r>
      <w:r w:rsidR="00D2737B" w:rsidRPr="00AB10E9">
        <w:t>these principles are best understood by scholars, who are also responsible for formulating them.</w:t>
      </w:r>
      <w:r w:rsidR="0058115D" w:rsidRPr="00AB10E9">
        <w:rPr>
          <w:rStyle w:val="FootnoteReference"/>
        </w:rPr>
        <w:footnoteReference w:id="21"/>
      </w:r>
      <w:r w:rsidR="00D2737B" w:rsidRPr="00AB10E9">
        <w:t xml:space="preserve"> </w:t>
      </w:r>
      <w:r w:rsidR="00CB2B58" w:rsidRPr="00AB10E9">
        <w:t xml:space="preserve">Thus, it would be challenging for people to understand the principles used in governing a country if they are not educated. A country whose population lacks education would be easily gullible and vulnerable to </w:t>
      </w:r>
      <w:r w:rsidR="007877A5" w:rsidRPr="00AB10E9">
        <w:t>mi</w:t>
      </w:r>
      <w:r w:rsidR="001C2072" w:rsidRPr="00AB10E9">
        <w:t xml:space="preserve">sleading </w:t>
      </w:r>
      <w:r w:rsidR="0093631E" w:rsidRPr="00AB10E9">
        <w:t xml:space="preserve">doctrines from corrupt leaders. </w:t>
      </w:r>
    </w:p>
    <w:p w:rsidR="008418E1" w:rsidRPr="00AB10E9" w:rsidRDefault="00EC0989" w:rsidP="00EB7A3A">
      <w:pPr>
        <w:ind w:firstLine="720"/>
        <w:contextualSpacing/>
      </w:pPr>
      <w:r w:rsidRPr="00AB10E9">
        <w:t>The three fundamental concepts of Syrian nationalism</w:t>
      </w:r>
      <w:r w:rsidR="00C90722" w:rsidRPr="00AB10E9">
        <w:t xml:space="preserve"> assert that; Syria belongs to Syrians, Syria constitutes a nuclear social structure, and Syrian interests surpass additional interests. </w:t>
      </w:r>
      <w:r w:rsidR="00BC1410" w:rsidRPr="00AB10E9">
        <w:t>Nationalists believed that only people born in Syria</w:t>
      </w:r>
      <w:r w:rsidR="00921CB8" w:rsidRPr="00AB10E9">
        <w:t xml:space="preserve"> could enjoy the </w:t>
      </w:r>
      <w:r w:rsidR="00D627C6" w:rsidRPr="00AB10E9">
        <w:t xml:space="preserve">Syrian resources based on the understanding that such people understood </w:t>
      </w:r>
      <w:r w:rsidR="003F5E33" w:rsidRPr="00AB10E9">
        <w:t>Syria better.</w:t>
      </w:r>
      <w:r w:rsidR="00BE59DB" w:rsidRPr="00AB10E9">
        <w:rPr>
          <w:rStyle w:val="FootnoteReference"/>
        </w:rPr>
        <w:footnoteReference w:id="22"/>
      </w:r>
      <w:r w:rsidR="003F5E33" w:rsidRPr="00AB10E9">
        <w:t xml:space="preserve"> People born i</w:t>
      </w:r>
      <w:r w:rsidR="00A31095" w:rsidRPr="00AB10E9">
        <w:t xml:space="preserve">n a given region understand the challenges </w:t>
      </w:r>
      <w:r w:rsidR="003A7127" w:rsidRPr="00AB10E9">
        <w:t xml:space="preserve">engulfing that region and the logistics involved in eliminating them. </w:t>
      </w:r>
      <w:r w:rsidR="00D03206" w:rsidRPr="00AB10E9">
        <w:t>The association of Syrians with Syria</w:t>
      </w:r>
      <w:r w:rsidR="00521AB4" w:rsidRPr="00AB10E9">
        <w:t xml:space="preserve"> explained the opposit</w:t>
      </w:r>
      <w:r w:rsidR="003C0B56" w:rsidRPr="00AB10E9">
        <w:t>ion that foreign governments encountered</w:t>
      </w:r>
      <w:r w:rsidR="0056381B" w:rsidRPr="00AB10E9">
        <w:t xml:space="preserve"> when they </w:t>
      </w:r>
      <w:r w:rsidR="00150BCF" w:rsidRPr="00AB10E9">
        <w:t xml:space="preserve">invaded Syria. British and French governments </w:t>
      </w:r>
      <w:r w:rsidR="00F7564D" w:rsidRPr="00AB10E9">
        <w:t xml:space="preserve">invaded </w:t>
      </w:r>
      <w:r w:rsidR="00543935" w:rsidRPr="00AB10E9">
        <w:t>Syria</w:t>
      </w:r>
      <w:r w:rsidR="0061402F" w:rsidRPr="00AB10E9">
        <w:t xml:space="preserve"> and </w:t>
      </w:r>
      <w:r w:rsidR="0017178C" w:rsidRPr="00AB10E9">
        <w:t>they even colluded</w:t>
      </w:r>
      <w:r w:rsidR="0061402F" w:rsidRPr="00AB10E9">
        <w:t xml:space="preserve"> on how to manage the country through the</w:t>
      </w:r>
      <w:r w:rsidR="0017178C" w:rsidRPr="00AB10E9">
        <w:t xml:space="preserve"> boundary agreement. </w:t>
      </w:r>
      <w:r w:rsidR="00F04CB2" w:rsidRPr="00AB10E9">
        <w:t>To the Syrians, the British and</w:t>
      </w:r>
      <w:r w:rsidR="00B757A4" w:rsidRPr="00AB10E9">
        <w:t xml:space="preserve"> French authorities could not deem to make decisions on behalf of Syrians. </w:t>
      </w:r>
      <w:r w:rsidR="00653BF5" w:rsidRPr="00AB10E9">
        <w:t xml:space="preserve">The British and French authorities are </w:t>
      </w:r>
      <w:r w:rsidR="0013585A" w:rsidRPr="00AB10E9">
        <w:t xml:space="preserve">foreigners trying to make decisions affecting Syrians and it would be debatable </w:t>
      </w:r>
      <w:r w:rsidR="00C74212" w:rsidRPr="00AB10E9">
        <w:t xml:space="preserve">arguing that these authorities would make decisions affecting Syrians. The nationalists </w:t>
      </w:r>
      <w:r w:rsidR="00BE4999" w:rsidRPr="00AB10E9">
        <w:t xml:space="preserve">believed that they needed autonomy, which could only be attained by driving the British and French authorities away. </w:t>
      </w:r>
      <w:r w:rsidR="00C16457" w:rsidRPr="00AB10E9">
        <w:t xml:space="preserve">The attainment of independence of Syria would leave Syrians with the opportunity to run their governments and make decisions that affect the Syrian community. </w:t>
      </w:r>
      <w:r w:rsidR="002E5EA1" w:rsidRPr="00AB10E9">
        <w:t xml:space="preserve">Having the local community run the Syrian country </w:t>
      </w:r>
      <w:r w:rsidR="00A76021" w:rsidRPr="00AB10E9">
        <w:t xml:space="preserve">would be better than having </w:t>
      </w:r>
      <w:r w:rsidR="00A76021" w:rsidRPr="00AB10E9">
        <w:lastRenderedPageBreak/>
        <w:t>foreigners make such decisions because</w:t>
      </w:r>
      <w:r w:rsidR="00F67EEA" w:rsidRPr="00AB10E9">
        <w:t xml:space="preserve"> the local community </w:t>
      </w:r>
      <w:r w:rsidR="00EF5E8D" w:rsidRPr="00AB10E9">
        <w:t xml:space="preserve">understands the </w:t>
      </w:r>
      <w:r w:rsidR="00C4610C" w:rsidRPr="00AB10E9">
        <w:t xml:space="preserve">problems affecting the country founded on the understanding that the region comprises of various ethnical and religious groups. The demographic and religious outfits in the region could be better understood by </w:t>
      </w:r>
      <w:r w:rsidR="00C014E8" w:rsidRPr="00AB10E9">
        <w:t xml:space="preserve">the local community than would be the case when foreigners rule the region. </w:t>
      </w:r>
    </w:p>
    <w:p w:rsidR="00721BB5" w:rsidRPr="00AB10E9" w:rsidRDefault="00721BB5" w:rsidP="00EB7A3A">
      <w:pPr>
        <w:ind w:firstLine="720"/>
        <w:contextualSpacing/>
      </w:pPr>
      <w:r w:rsidRPr="00AB10E9">
        <w:t xml:space="preserve">Furthermore, Syria is socially composed </w:t>
      </w:r>
      <w:r w:rsidR="00541560" w:rsidRPr="00AB10E9">
        <w:t xml:space="preserve">and constructed, which means that </w:t>
      </w:r>
      <w:r w:rsidR="0029359C" w:rsidRPr="00AB10E9">
        <w:t xml:space="preserve">the population embraces collectivism. The nationalists emphasized on the continued application </w:t>
      </w:r>
      <w:r w:rsidR="009B61C3" w:rsidRPr="00AB10E9">
        <w:t xml:space="preserve">of collectivism, whereby families are socially tied. </w:t>
      </w:r>
      <w:r w:rsidR="00787A16" w:rsidRPr="00AB10E9">
        <w:t xml:space="preserve">Thus, nationalists believed that the presence of the British and </w:t>
      </w:r>
      <w:r w:rsidR="00E809A6" w:rsidRPr="00AB10E9">
        <w:t xml:space="preserve">French authorities </w:t>
      </w:r>
      <w:r w:rsidR="00B8564A" w:rsidRPr="00AB10E9">
        <w:t xml:space="preserve">affected the social structure that had been etched in Syria for centuries. The return to the nuclear social structure applied in </w:t>
      </w:r>
      <w:r w:rsidR="008F329B" w:rsidRPr="00AB10E9">
        <w:t xml:space="preserve">Syria would only be attained by the attainment of true sovereignty. </w:t>
      </w:r>
    </w:p>
    <w:p w:rsidR="00985C7E" w:rsidRPr="00AB10E9" w:rsidRDefault="00177777" w:rsidP="00EB7A3A">
      <w:pPr>
        <w:ind w:firstLine="720"/>
        <w:contextualSpacing/>
      </w:pPr>
      <w:r w:rsidRPr="00AB10E9">
        <w:t xml:space="preserve">It is worth noting that </w:t>
      </w:r>
      <w:r w:rsidR="007461CA" w:rsidRPr="00AB10E9">
        <w:t>some nationalis</w:t>
      </w:r>
      <w:r w:rsidR="00E448C7" w:rsidRPr="00AB10E9">
        <w:t>ts believed that Syria would be established through the cultural and political manifestations. Nationalism could be attained through the establishment of the Ba’</w:t>
      </w:r>
      <w:r w:rsidR="00E67536" w:rsidRPr="00AB10E9">
        <w:t>ath Party</w:t>
      </w:r>
      <w:r w:rsidR="00E448C7" w:rsidRPr="00AB10E9">
        <w:t>.</w:t>
      </w:r>
      <w:r w:rsidR="00F243B5" w:rsidRPr="00AB10E9">
        <w:rPr>
          <w:rStyle w:val="FootnoteReference"/>
        </w:rPr>
        <w:footnoteReference w:id="23"/>
      </w:r>
      <w:r w:rsidR="00E448C7" w:rsidRPr="00AB10E9">
        <w:t xml:space="preserve"> </w:t>
      </w:r>
      <w:r w:rsidR="007839E4" w:rsidRPr="00AB10E9">
        <w:t>This</w:t>
      </w:r>
      <w:r w:rsidR="00804A2C" w:rsidRPr="00AB10E9">
        <w:t xml:space="preserve"> nationalism approach points to the conception of al-Husri’s culture, which elevated the need for regions to </w:t>
      </w:r>
      <w:r w:rsidR="00BE1001" w:rsidRPr="00AB10E9">
        <w:t>verify</w:t>
      </w:r>
      <w:r w:rsidR="00804A2C" w:rsidRPr="00AB10E9">
        <w:t xml:space="preserve"> the </w:t>
      </w:r>
      <w:r w:rsidR="00E043C8" w:rsidRPr="00AB10E9">
        <w:t>authenticity</w:t>
      </w:r>
      <w:r w:rsidR="00804A2C" w:rsidRPr="00AB10E9">
        <w:t xml:space="preserve"> of their existence. </w:t>
      </w:r>
      <w:r w:rsidR="007839E4" w:rsidRPr="00AB10E9">
        <w:t>To many nationalists, the verification of the authenticity of the existence of the Syrian community could be achieved through the elimination</w:t>
      </w:r>
      <w:r w:rsidR="00D07648" w:rsidRPr="00AB10E9">
        <w:t xml:space="preserve"> of the cultural </w:t>
      </w:r>
      <w:r w:rsidR="00615AE5" w:rsidRPr="00AB10E9">
        <w:t>distinctiveness</w:t>
      </w:r>
      <w:r w:rsidR="007839E4" w:rsidRPr="00AB10E9">
        <w:t xml:space="preserve"> of colonized nations. </w:t>
      </w:r>
      <w:r w:rsidR="00F143C8" w:rsidRPr="00AB10E9">
        <w:t>The nationalists believed that the cultural distinctiveness of colonized nations could be eliminated through the acquisition of a distinct language that would define Syrians, whic</w:t>
      </w:r>
      <w:r w:rsidR="005D3F9B" w:rsidRPr="00AB10E9">
        <w:t xml:space="preserve">h in this case would be the Arabic language. </w:t>
      </w:r>
      <w:r w:rsidR="007A356D" w:rsidRPr="00AB10E9">
        <w:t>Since the British and French authorities were the colonizers, Syria could not use</w:t>
      </w:r>
      <w:r w:rsidR="00246804" w:rsidRPr="00AB10E9">
        <w:t xml:space="preserve"> English and French languages. </w:t>
      </w:r>
      <w:r w:rsidR="00395ABE" w:rsidRPr="00AB10E9">
        <w:t xml:space="preserve">Therefore, </w:t>
      </w:r>
      <w:r w:rsidR="007A2345" w:rsidRPr="00AB10E9">
        <w:t xml:space="preserve">the elimination of the English or French </w:t>
      </w:r>
      <w:r w:rsidR="007A2345" w:rsidRPr="00AB10E9">
        <w:lastRenderedPageBreak/>
        <w:t>influence could only be attained by introducing a novel language, which explains the need for the nationalists to have Arabic as the preferred language.</w:t>
      </w:r>
      <w:r w:rsidR="00F859B3" w:rsidRPr="00AB10E9">
        <w:rPr>
          <w:rStyle w:val="FootnoteReference"/>
        </w:rPr>
        <w:footnoteReference w:id="24"/>
      </w:r>
    </w:p>
    <w:p w:rsidR="00177777" w:rsidRPr="00AB10E9" w:rsidRDefault="00985C7E" w:rsidP="00EB7A3A">
      <w:pPr>
        <w:ind w:firstLine="720"/>
        <w:contextualSpacing/>
      </w:pPr>
      <w:r w:rsidRPr="00AB10E9">
        <w:t xml:space="preserve">To this day, </w:t>
      </w:r>
      <w:r w:rsidR="00563B01" w:rsidRPr="00AB10E9">
        <w:t xml:space="preserve">Syria continues to experience turmoil </w:t>
      </w:r>
      <w:r w:rsidR="000C09A6" w:rsidRPr="00AB10E9">
        <w:t xml:space="preserve">because of the problems that came out of the Sykes and Picot agreement. </w:t>
      </w:r>
      <w:r w:rsidR="003C69DC" w:rsidRPr="00AB10E9">
        <w:t>Different tribes continue</w:t>
      </w:r>
      <w:r w:rsidR="00D87289" w:rsidRPr="00AB10E9">
        <w:t xml:space="preserve"> to fight, especially the Sunni</w:t>
      </w:r>
      <w:r w:rsidR="003C69DC" w:rsidRPr="00AB10E9">
        <w:t xml:space="preserve"> and Shia ethnic groups</w:t>
      </w:r>
      <w:r w:rsidR="00C0569E" w:rsidRPr="00AB10E9">
        <w:t xml:space="preserve">. Additional problems affecting Syria to this day is the </w:t>
      </w:r>
      <w:r w:rsidR="00913432" w:rsidRPr="00AB10E9">
        <w:t xml:space="preserve">inability of the current government to tackle the crucial dilemma of the identity struggle that involve </w:t>
      </w:r>
      <w:r w:rsidR="0079063D" w:rsidRPr="00AB10E9">
        <w:t xml:space="preserve">secularism and nationalism on one hand, and Islamism and Christianism on the other. </w:t>
      </w:r>
      <w:r w:rsidR="00091326" w:rsidRPr="00AB10E9">
        <w:t>It is worth noting that the Arab population continues to rise, reaching about 330 million people</w:t>
      </w:r>
      <w:r w:rsidR="007F50D5" w:rsidRPr="00AB10E9">
        <w:t xml:space="preserve">, and this increase exerts pressure on the community based on the borderlines from Sykes and Picot agreement with the British and French governments. </w:t>
      </w:r>
      <w:r w:rsidR="00834E69" w:rsidRPr="00AB10E9">
        <w:t>T</w:t>
      </w:r>
      <w:r w:rsidR="00EB7A3A" w:rsidRPr="00AB10E9">
        <w:t>h</w:t>
      </w:r>
      <w:r w:rsidR="00834E69" w:rsidRPr="00AB10E9">
        <w:t xml:space="preserve">e </w:t>
      </w:r>
      <w:r w:rsidR="00454675" w:rsidRPr="00AB10E9">
        <w:t>effects of the agreement continue</w:t>
      </w:r>
      <w:r w:rsidR="00834E69" w:rsidRPr="00AB10E9">
        <w:t xml:space="preserve"> to this day because the problems of the community, especially regarding access to quality education</w:t>
      </w:r>
      <w:r w:rsidR="00B9427B" w:rsidRPr="00AB10E9">
        <w:t xml:space="preserve">, economic </w:t>
      </w:r>
      <w:proofErr w:type="gramStart"/>
      <w:r w:rsidR="00B9427B" w:rsidRPr="00AB10E9">
        <w:t>prospects</w:t>
      </w:r>
      <w:proofErr w:type="gramEnd"/>
      <w:r w:rsidR="00B9427B" w:rsidRPr="00AB10E9">
        <w:t xml:space="preserve">, and job availability issues. </w:t>
      </w:r>
    </w:p>
    <w:p w:rsidR="006D52A0" w:rsidRPr="00AB10E9" w:rsidRDefault="006D52A0"/>
    <w:p w:rsidR="00474EF4" w:rsidRPr="00AB10E9" w:rsidRDefault="00474EF4" w:rsidP="009B3338">
      <w:pPr>
        <w:jc w:val="center"/>
      </w:pPr>
    </w:p>
    <w:p w:rsidR="00474EF4" w:rsidRPr="00AB10E9" w:rsidRDefault="00474EF4" w:rsidP="009B3338">
      <w:pPr>
        <w:jc w:val="center"/>
      </w:pPr>
    </w:p>
    <w:p w:rsidR="00474EF4" w:rsidRPr="00AB10E9" w:rsidRDefault="00474EF4" w:rsidP="009B3338">
      <w:pPr>
        <w:jc w:val="center"/>
      </w:pPr>
    </w:p>
    <w:p w:rsidR="00474EF4" w:rsidRPr="00AB10E9" w:rsidRDefault="00474EF4" w:rsidP="009B3338">
      <w:pPr>
        <w:jc w:val="center"/>
      </w:pPr>
    </w:p>
    <w:p w:rsidR="009177CA" w:rsidRPr="00AB10E9" w:rsidRDefault="009177CA" w:rsidP="009B3338">
      <w:pPr>
        <w:jc w:val="center"/>
      </w:pPr>
    </w:p>
    <w:p w:rsidR="009177CA" w:rsidRPr="00AB10E9" w:rsidRDefault="009177CA" w:rsidP="009B3338">
      <w:pPr>
        <w:jc w:val="center"/>
      </w:pPr>
    </w:p>
    <w:p w:rsidR="008B3B52" w:rsidRPr="00AB10E9" w:rsidRDefault="004B7D1C" w:rsidP="009B3338">
      <w:pPr>
        <w:jc w:val="center"/>
      </w:pPr>
      <w:r w:rsidRPr="00AB10E9">
        <w:lastRenderedPageBreak/>
        <w:t>Bibliography</w:t>
      </w:r>
    </w:p>
    <w:p w:rsidR="009B3338" w:rsidRPr="00AB10E9" w:rsidRDefault="00EC4E7C" w:rsidP="00456261">
      <w:pPr>
        <w:ind w:left="720" w:hanging="720"/>
        <w:contextualSpacing/>
      </w:pPr>
      <w:r w:rsidRPr="00AB10E9">
        <w:t>1.</w:t>
      </w:r>
      <w:r w:rsidR="00CC6485" w:rsidRPr="00AB10E9">
        <w:t xml:space="preserve">Osman, Tarek. </w:t>
      </w:r>
      <w:r w:rsidR="001E3774" w:rsidRPr="00AB10E9">
        <w:t>“Why border lines drawn with a ruler in WW1 still rock the Middle East.”</w:t>
      </w:r>
      <w:r w:rsidR="00970291" w:rsidRPr="00AB10E9">
        <w:t xml:space="preserve"> </w:t>
      </w:r>
      <w:r w:rsidR="00970291" w:rsidRPr="00AB10E9">
        <w:rPr>
          <w:i/>
        </w:rPr>
        <w:t xml:space="preserve">BBC News. </w:t>
      </w:r>
      <w:r w:rsidR="00B9045B" w:rsidRPr="00AB10E9">
        <w:t xml:space="preserve">14 Dec. 2013. </w:t>
      </w:r>
      <w:r w:rsidR="00CF0F37" w:rsidRPr="00AB10E9">
        <w:t>http://www.bbc.com/news/world-middle-east-25299553</w:t>
      </w:r>
      <w:r w:rsidR="00A261CE" w:rsidRPr="00AB10E9">
        <w:t>.</w:t>
      </w:r>
    </w:p>
    <w:p w:rsidR="003375E5" w:rsidRPr="00AB10E9" w:rsidRDefault="00EC4E7C" w:rsidP="00456261">
      <w:pPr>
        <w:ind w:left="720" w:hanging="720"/>
        <w:contextualSpacing/>
      </w:pPr>
      <w:r w:rsidRPr="00AB10E9">
        <w:t>2.</w:t>
      </w:r>
      <w:r w:rsidR="00750C2F" w:rsidRPr="00AB10E9">
        <w:t>Wright, Robin. “</w:t>
      </w:r>
      <w:r w:rsidR="00907338" w:rsidRPr="00AB10E9">
        <w:t>How the curse of Sykes-Picot still haunts the Middle East.</w:t>
      </w:r>
      <w:r w:rsidR="00750C2F" w:rsidRPr="00AB10E9">
        <w:t>”</w:t>
      </w:r>
      <w:r w:rsidR="00907338" w:rsidRPr="00AB10E9">
        <w:t xml:space="preserve"> </w:t>
      </w:r>
      <w:r w:rsidR="00907338" w:rsidRPr="00AB10E9">
        <w:rPr>
          <w:i/>
        </w:rPr>
        <w:t xml:space="preserve">The New Yorker. </w:t>
      </w:r>
      <w:r w:rsidR="00967389" w:rsidRPr="00AB10E9">
        <w:t xml:space="preserve">30 April, 2016. </w:t>
      </w:r>
      <w:r w:rsidR="00A31AD2" w:rsidRPr="00AB10E9">
        <w:t>http://www.newyorker.com/news/news-desk/how-the-curse-of-sykes-picot-still-haunts-the-middle-east.</w:t>
      </w:r>
    </w:p>
    <w:p w:rsidR="003375E5" w:rsidRPr="00AB10E9" w:rsidRDefault="00EC4E7C" w:rsidP="00456261">
      <w:pPr>
        <w:ind w:left="720" w:hanging="720"/>
        <w:contextualSpacing/>
      </w:pPr>
      <w:proofErr w:type="gramStart"/>
      <w:r w:rsidRPr="00AB10E9">
        <w:rPr>
          <w:lang w:val="es-ES"/>
        </w:rPr>
        <w:t>3.</w:t>
      </w:r>
      <w:r w:rsidR="004B44BB" w:rsidRPr="00AB10E9">
        <w:rPr>
          <w:lang w:val="es-ES"/>
        </w:rPr>
        <w:t>Rabinovich</w:t>
      </w:r>
      <w:proofErr w:type="gramEnd"/>
      <w:r w:rsidR="004B44BB" w:rsidRPr="00AB10E9">
        <w:rPr>
          <w:lang w:val="es-ES"/>
        </w:rPr>
        <w:t xml:space="preserve">, Itamar, Robbie Sabel, and Oded Eran. </w:t>
      </w:r>
      <w:r w:rsidR="004B44BB" w:rsidRPr="00AB10E9">
        <w:t xml:space="preserve">“A century since the Sykes-Picot agreement: Current challenges.” </w:t>
      </w:r>
      <w:r w:rsidR="004B44BB" w:rsidRPr="00AB10E9">
        <w:rPr>
          <w:i/>
        </w:rPr>
        <w:t>The Institute for National Security Studies (INSS)</w:t>
      </w:r>
      <w:r w:rsidR="004B44BB" w:rsidRPr="00AB10E9">
        <w:t xml:space="preserve">. </w:t>
      </w:r>
      <w:r w:rsidR="00871FCD" w:rsidRPr="00AB10E9">
        <w:t xml:space="preserve">16 May 2016. </w:t>
      </w:r>
      <w:r w:rsidR="00824014" w:rsidRPr="00AB10E9">
        <w:t>http://www.inss.org.il/index.aspx?id=4538&amp;articleid=11812.</w:t>
      </w:r>
    </w:p>
    <w:p w:rsidR="00EA3E5F" w:rsidRPr="00AB10E9" w:rsidRDefault="00EC4E7C" w:rsidP="00456261">
      <w:pPr>
        <w:ind w:left="720" w:hanging="720"/>
        <w:contextualSpacing/>
      </w:pPr>
      <w:r w:rsidRPr="00AB10E9">
        <w:t>4.</w:t>
      </w:r>
      <w:r w:rsidR="007B09B7" w:rsidRPr="00AB10E9">
        <w:t xml:space="preserve">Admin. “A history of Syrian nationalism.” </w:t>
      </w:r>
      <w:r w:rsidR="007B09B7" w:rsidRPr="00AB10E9">
        <w:rPr>
          <w:i/>
        </w:rPr>
        <w:t>PSB Newshour</w:t>
      </w:r>
      <w:r w:rsidR="007B09B7" w:rsidRPr="00AB10E9">
        <w:t xml:space="preserve">. </w:t>
      </w:r>
      <w:r w:rsidR="007221CE" w:rsidRPr="00AB10E9">
        <w:t xml:space="preserve">14 Sep. 2006. </w:t>
      </w:r>
      <w:r w:rsidR="009F54ED" w:rsidRPr="00AB10E9">
        <w:t>http://www.pbs.org/newshour/updates/middle_east-july-dec06-syria-national_09-14/</w:t>
      </w:r>
      <w:r w:rsidR="0019066B" w:rsidRPr="00AB10E9">
        <w:t>.</w:t>
      </w:r>
    </w:p>
    <w:p w:rsidR="00E164EA" w:rsidRPr="00AB10E9" w:rsidRDefault="00EC4E7C" w:rsidP="00456261">
      <w:pPr>
        <w:ind w:left="720" w:hanging="720"/>
        <w:contextualSpacing/>
      </w:pPr>
      <w:r w:rsidRPr="00AB10E9">
        <w:t>5.</w:t>
      </w:r>
      <w:r w:rsidR="007528A2" w:rsidRPr="00AB10E9">
        <w:t xml:space="preserve">Yale Law School. “The Sykes-Picot agreement: 1916.” </w:t>
      </w:r>
      <w:r w:rsidR="000F58B5" w:rsidRPr="00AB10E9">
        <w:rPr>
          <w:i/>
        </w:rPr>
        <w:t>Lillian</w:t>
      </w:r>
      <w:r w:rsidR="007528A2" w:rsidRPr="00AB10E9">
        <w:rPr>
          <w:i/>
        </w:rPr>
        <w:t xml:space="preserve"> Goldman Law Library. </w:t>
      </w:r>
      <w:r w:rsidR="007528A2" w:rsidRPr="00AB10E9">
        <w:t xml:space="preserve">2008. </w:t>
      </w:r>
      <w:r w:rsidR="00F270E3" w:rsidRPr="00AB10E9">
        <w:t>http://avalon.law.yale.edu/20th_century/sykes.asp.</w:t>
      </w:r>
    </w:p>
    <w:p w:rsidR="00E164EA" w:rsidRPr="00AB10E9" w:rsidRDefault="00EC4E7C" w:rsidP="00456261">
      <w:pPr>
        <w:ind w:left="720" w:hanging="720"/>
        <w:contextualSpacing/>
      </w:pPr>
      <w:r w:rsidRPr="00AB10E9">
        <w:t>6.</w:t>
      </w:r>
      <w:r w:rsidR="007E3C54" w:rsidRPr="00AB10E9">
        <w:t>Lewis, Martin. “Greater</w:t>
      </w:r>
      <w:r w:rsidR="001F5D10" w:rsidRPr="00AB10E9">
        <w:t xml:space="preserve"> </w:t>
      </w:r>
      <w:r w:rsidR="00F552E5" w:rsidRPr="00AB10E9">
        <w:t>Syria and the challenge to Syrian nationalism.</w:t>
      </w:r>
      <w:r w:rsidR="007E3C54" w:rsidRPr="00AB10E9">
        <w:t>”</w:t>
      </w:r>
      <w:r w:rsidR="00F552E5" w:rsidRPr="00AB10E9">
        <w:t xml:space="preserve"> </w:t>
      </w:r>
      <w:r w:rsidR="00F552E5" w:rsidRPr="00AB10E9">
        <w:rPr>
          <w:i/>
        </w:rPr>
        <w:t xml:space="preserve">GeoCurrents. </w:t>
      </w:r>
      <w:r w:rsidR="00B51707" w:rsidRPr="00AB10E9">
        <w:t xml:space="preserve">2 April, 2011. </w:t>
      </w:r>
      <w:r w:rsidR="003C2281" w:rsidRPr="00AB10E9">
        <w:t>http://www.geocurrents.info/geopolitics/greater-syria-and-the-challenge-to-syrian-nationalism.</w:t>
      </w:r>
    </w:p>
    <w:p w:rsidR="00E164EA" w:rsidRPr="00AB10E9" w:rsidRDefault="00EC4E7C" w:rsidP="00456261">
      <w:pPr>
        <w:ind w:left="720" w:hanging="720"/>
        <w:contextualSpacing/>
      </w:pPr>
      <w:r w:rsidRPr="00AB10E9">
        <w:t>7.</w:t>
      </w:r>
      <w:r w:rsidR="00E31D85" w:rsidRPr="00AB10E9">
        <w:t>Fildis, Ayse</w:t>
      </w:r>
      <w:r w:rsidR="00F26938" w:rsidRPr="00AB10E9">
        <w:t xml:space="preserve"> T</w:t>
      </w:r>
      <w:r w:rsidR="00E31D85" w:rsidRPr="00AB10E9">
        <w:t xml:space="preserve">. </w:t>
      </w:r>
      <w:r w:rsidR="00333BD0" w:rsidRPr="00AB10E9">
        <w:t>“</w:t>
      </w:r>
      <w:r w:rsidR="008E02AE" w:rsidRPr="00AB10E9">
        <w:t xml:space="preserve">The troubles in Syria: Spawned by French </w:t>
      </w:r>
      <w:r w:rsidR="0092288D" w:rsidRPr="00AB10E9">
        <w:t>divide and rule.</w:t>
      </w:r>
      <w:r w:rsidR="00333BD0" w:rsidRPr="00AB10E9">
        <w:t>”</w:t>
      </w:r>
      <w:r w:rsidR="0092288D" w:rsidRPr="00AB10E9">
        <w:t xml:space="preserve"> </w:t>
      </w:r>
      <w:r w:rsidR="0092288D" w:rsidRPr="00AB10E9">
        <w:rPr>
          <w:i/>
        </w:rPr>
        <w:t>Middle East Policy Council</w:t>
      </w:r>
      <w:r w:rsidR="0092288D" w:rsidRPr="00AB10E9">
        <w:t xml:space="preserve">, </w:t>
      </w:r>
      <w:r w:rsidR="00F43B31" w:rsidRPr="00AB10E9">
        <w:t xml:space="preserve">18, no. 4, </w:t>
      </w:r>
      <w:r w:rsidR="000237E9" w:rsidRPr="00AB10E9">
        <w:t xml:space="preserve">(2017). </w:t>
      </w:r>
      <w:r w:rsidR="00C65271" w:rsidRPr="00AB10E9">
        <w:t>Accessed February 27</w:t>
      </w:r>
      <w:r w:rsidR="00AE3AB3" w:rsidRPr="00AB10E9">
        <w:t>,</w:t>
      </w:r>
      <w:r w:rsidR="009C08D0" w:rsidRPr="00AB10E9">
        <w:t xml:space="preserve"> 2017. </w:t>
      </w:r>
      <w:r w:rsidR="00306B8B" w:rsidRPr="00AB10E9">
        <w:t>http://www.mepc.org/journal/middle-east-policy-archives/troubles-syria-spawned-french-divide-and-rule?print.</w:t>
      </w:r>
    </w:p>
    <w:p w:rsidR="00E164EA" w:rsidRPr="00AB10E9" w:rsidRDefault="00EC4E7C" w:rsidP="00456261">
      <w:pPr>
        <w:ind w:left="720" w:hanging="720"/>
        <w:contextualSpacing/>
      </w:pPr>
      <w:r w:rsidRPr="00AB10E9">
        <w:t>8.</w:t>
      </w:r>
      <w:r w:rsidR="00F97B61" w:rsidRPr="00AB10E9">
        <w:t>Eytan, Freddy. “</w:t>
      </w:r>
      <w:r w:rsidR="007A751D" w:rsidRPr="00AB10E9">
        <w:t>The Failures of the International Community in the Middle East since the Sykes-Picot Agreement, 1916-2016.</w:t>
      </w:r>
      <w:r w:rsidR="00F97B61" w:rsidRPr="00AB10E9">
        <w:t>”</w:t>
      </w:r>
      <w:r w:rsidR="007A751D" w:rsidRPr="00AB10E9">
        <w:t xml:space="preserve"> </w:t>
      </w:r>
      <w:r w:rsidR="007A751D" w:rsidRPr="00AB10E9">
        <w:rPr>
          <w:i/>
        </w:rPr>
        <w:t>Jerusalem Center for Public Affairs</w:t>
      </w:r>
      <w:r w:rsidR="007A751D" w:rsidRPr="00AB10E9">
        <w:t xml:space="preserve">. </w:t>
      </w:r>
      <w:r w:rsidR="00B02C52" w:rsidRPr="00AB10E9">
        <w:t xml:space="preserve">2017. </w:t>
      </w:r>
      <w:r w:rsidR="007B22FF" w:rsidRPr="00AB10E9">
        <w:t>http://jcpa.org/the-failures-in-the-middle-east-since-the-sykes-picot-agreement/.</w:t>
      </w:r>
    </w:p>
    <w:p w:rsidR="00D04F05" w:rsidRPr="00AB10E9" w:rsidRDefault="00EC4E7C" w:rsidP="00456261">
      <w:pPr>
        <w:ind w:left="720" w:hanging="720"/>
        <w:contextualSpacing/>
      </w:pPr>
      <w:r w:rsidRPr="00AB10E9">
        <w:lastRenderedPageBreak/>
        <w:t>9.</w:t>
      </w:r>
      <w:r w:rsidR="00B2786E" w:rsidRPr="00AB10E9">
        <w:t xml:space="preserve">Rjaili, Khalil A. “Boutros al-Boustani.” </w:t>
      </w:r>
      <w:r w:rsidR="005A21A4" w:rsidRPr="00AB10E9">
        <w:rPr>
          <w:i/>
        </w:rPr>
        <w:t xml:space="preserve">UNESCO: </w:t>
      </w:r>
      <w:r w:rsidR="00B2786E" w:rsidRPr="00AB10E9">
        <w:rPr>
          <w:i/>
        </w:rPr>
        <w:t>International Bureau of Education</w:t>
      </w:r>
      <w:r w:rsidR="005A21A4" w:rsidRPr="00AB10E9">
        <w:t>. 2000</w:t>
      </w:r>
      <w:r w:rsidR="000F32F4" w:rsidRPr="00AB10E9">
        <w:t>. http://www.ibe.unesco.org/fileadmin/user_upload/archive/Publications/thinkerspdf/boustane.pdf</w:t>
      </w:r>
      <w:r w:rsidR="00F53495" w:rsidRPr="00AB10E9">
        <w:t>.</w:t>
      </w:r>
    </w:p>
    <w:p w:rsidR="00D04F05" w:rsidRPr="00AB10E9" w:rsidRDefault="00EC4E7C" w:rsidP="00C27338">
      <w:pPr>
        <w:ind w:left="720" w:hanging="720"/>
        <w:contextualSpacing/>
      </w:pPr>
      <w:r w:rsidRPr="00AB10E9">
        <w:t>10.</w:t>
      </w:r>
      <w:r w:rsidR="009C62E9" w:rsidRPr="00AB10E9">
        <w:t xml:space="preserve">Aldoughli, Rahaf. </w:t>
      </w:r>
      <w:r w:rsidR="00874104" w:rsidRPr="00AB10E9">
        <w:t>“</w:t>
      </w:r>
      <w:r w:rsidR="00C85524" w:rsidRPr="00AB10E9">
        <w:t>Revisiting ideological borrowings in Syrian nationalist narratives: Sati ‘al-Husri, Michel ‘Aflaq and Zaki al-Arsuzi.</w:t>
      </w:r>
      <w:r w:rsidR="00874104" w:rsidRPr="00AB10E9">
        <w:t>”</w:t>
      </w:r>
      <w:r w:rsidR="00C85524" w:rsidRPr="00AB10E9">
        <w:t xml:space="preserve"> </w:t>
      </w:r>
      <w:r w:rsidR="0098242E" w:rsidRPr="00AB10E9">
        <w:rPr>
          <w:i/>
        </w:rPr>
        <w:t>Syria Studies</w:t>
      </w:r>
      <w:r w:rsidR="00B20AA9" w:rsidRPr="00AB10E9">
        <w:rPr>
          <w:i/>
        </w:rPr>
        <w:t xml:space="preserve"> </w:t>
      </w:r>
      <w:r w:rsidR="00B20AA9" w:rsidRPr="00AB10E9">
        <w:t xml:space="preserve">8, no. 1 (2016): </w:t>
      </w:r>
      <w:r w:rsidR="00FF5F18" w:rsidRPr="00AB10E9">
        <w:t>7-38</w:t>
      </w:r>
      <w:r w:rsidR="003000D8" w:rsidRPr="00AB10E9">
        <w:t>.</w:t>
      </w:r>
    </w:p>
    <w:p w:rsidR="004B7D1C" w:rsidRPr="00AB10E9" w:rsidRDefault="004B7D1C" w:rsidP="00B17403">
      <w:pPr>
        <w:contextualSpacing/>
      </w:pPr>
    </w:p>
    <w:sectPr w:rsidR="004B7D1C" w:rsidRPr="00AB10E9"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62" w:rsidRDefault="00AB6F62" w:rsidP="00AB6F62">
      <w:pPr>
        <w:spacing w:after="0" w:line="240" w:lineRule="auto"/>
      </w:pPr>
      <w:r>
        <w:separator/>
      </w:r>
    </w:p>
  </w:endnote>
  <w:endnote w:type="continuationSeparator" w:id="1">
    <w:p w:rsidR="00AB6F62" w:rsidRDefault="00AB6F62" w:rsidP="00AB6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62" w:rsidRDefault="00AB6F62" w:rsidP="00AB6F62">
      <w:pPr>
        <w:spacing w:after="0" w:line="240" w:lineRule="auto"/>
      </w:pPr>
      <w:r>
        <w:separator/>
      </w:r>
    </w:p>
  </w:footnote>
  <w:footnote w:type="continuationSeparator" w:id="1">
    <w:p w:rsidR="00AB6F62" w:rsidRDefault="00AB6F62" w:rsidP="00AB6F62">
      <w:pPr>
        <w:spacing w:after="0" w:line="240" w:lineRule="auto"/>
      </w:pPr>
      <w:r>
        <w:continuationSeparator/>
      </w:r>
    </w:p>
  </w:footnote>
  <w:footnote w:id="2">
    <w:p w:rsidR="0084797F" w:rsidRPr="00CE4690" w:rsidRDefault="0084797F" w:rsidP="00B371E6">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Rahaf Aldoughli. “Revisiting ideological borrowings in Syrian nationalist narratives: Sati ‘al-Husri, Michel ‘Aflaq and Zaki al-Arsuzi.” </w:t>
      </w:r>
      <w:r w:rsidRPr="00CE4690">
        <w:rPr>
          <w:i/>
          <w:sz w:val="20"/>
          <w:szCs w:val="20"/>
        </w:rPr>
        <w:t xml:space="preserve">Syria Studies </w:t>
      </w:r>
      <w:r w:rsidRPr="00CE4690">
        <w:rPr>
          <w:sz w:val="20"/>
          <w:szCs w:val="20"/>
        </w:rPr>
        <w:t>8, no. 1 (2016): 7</w:t>
      </w:r>
    </w:p>
  </w:footnote>
  <w:footnote w:id="3">
    <w:p w:rsidR="00B371E6" w:rsidRPr="00CE4690" w:rsidRDefault="00B371E6" w:rsidP="00B371E6">
      <w:pPr>
        <w:pStyle w:val="FootnoteText"/>
        <w:spacing w:line="480" w:lineRule="auto"/>
        <w:ind w:left="720" w:hanging="720"/>
        <w:contextualSpacing/>
      </w:pPr>
      <w:r w:rsidRPr="00CE4690">
        <w:rPr>
          <w:rStyle w:val="FootnoteReference"/>
        </w:rPr>
        <w:footnoteRef/>
      </w:r>
      <w:r w:rsidRPr="00CE4690">
        <w:rPr>
          <w:lang w:val="es-ES"/>
        </w:rPr>
        <w:t xml:space="preserve"> Itamar</w:t>
      </w:r>
      <w:r w:rsidR="00E57FAC" w:rsidRPr="00CE4690">
        <w:rPr>
          <w:lang w:val="es-ES"/>
        </w:rPr>
        <w:t xml:space="preserve"> Rabinovich</w:t>
      </w:r>
      <w:r w:rsidRPr="00CE4690">
        <w:rPr>
          <w:lang w:val="es-ES"/>
        </w:rPr>
        <w:t xml:space="preserve">, Robbie Sabel, and Oded Eran. </w:t>
      </w:r>
      <w:r w:rsidRPr="00CE4690">
        <w:t xml:space="preserve">“A century since the Sykes-Picot agreement: Current challenges.” </w:t>
      </w:r>
      <w:r w:rsidRPr="00CE4690">
        <w:rPr>
          <w:i/>
        </w:rPr>
        <w:t>The Institute for National Security Studies (INSS)</w:t>
      </w:r>
      <w:r w:rsidRPr="00CE4690">
        <w:t>. 16 May 2016.</w:t>
      </w:r>
    </w:p>
  </w:footnote>
  <w:footnote w:id="4">
    <w:p w:rsidR="007859B6" w:rsidRPr="00CE4690" w:rsidRDefault="00671FF4" w:rsidP="007859B6">
      <w:pPr>
        <w:ind w:left="720" w:hanging="720"/>
        <w:contextualSpacing/>
      </w:pPr>
      <w:r w:rsidRPr="00CE4690">
        <w:rPr>
          <w:rStyle w:val="FootnoteReference"/>
        </w:rPr>
        <w:footnoteRef/>
      </w:r>
      <w:r w:rsidRPr="00CE4690">
        <w:t xml:space="preserve"> </w:t>
      </w:r>
      <w:r w:rsidR="0083296E" w:rsidRPr="00CE4690">
        <w:rPr>
          <w:sz w:val="20"/>
          <w:szCs w:val="20"/>
        </w:rPr>
        <w:t xml:space="preserve">Tarek </w:t>
      </w:r>
      <w:r w:rsidRPr="00CE4690">
        <w:rPr>
          <w:sz w:val="20"/>
          <w:szCs w:val="20"/>
        </w:rPr>
        <w:t>Osman</w:t>
      </w:r>
      <w:r w:rsidR="007859B6" w:rsidRPr="00CE4690">
        <w:rPr>
          <w:sz w:val="20"/>
          <w:szCs w:val="20"/>
        </w:rPr>
        <w:t xml:space="preserve">. “Why border lines drawn with a ruler in WW1 still rock the Middle East.” </w:t>
      </w:r>
      <w:r w:rsidR="007859B6" w:rsidRPr="00CE4690">
        <w:rPr>
          <w:i/>
          <w:sz w:val="20"/>
          <w:szCs w:val="20"/>
        </w:rPr>
        <w:t xml:space="preserve">BBC News. </w:t>
      </w:r>
      <w:r w:rsidR="007859B6" w:rsidRPr="00CE4690">
        <w:rPr>
          <w:sz w:val="20"/>
          <w:szCs w:val="20"/>
        </w:rPr>
        <w:t>14 Dec. 2013. http://www.bbc.com/news/world-middle-east-25299553.</w:t>
      </w:r>
    </w:p>
    <w:p w:rsidR="007859B6" w:rsidRPr="00CE4690" w:rsidRDefault="007859B6">
      <w:pPr>
        <w:pStyle w:val="FootnoteText"/>
      </w:pPr>
    </w:p>
  </w:footnote>
  <w:footnote w:id="5">
    <w:p w:rsidR="00927803" w:rsidRPr="00CE4690" w:rsidRDefault="00927803" w:rsidP="00927803">
      <w:pPr>
        <w:pStyle w:val="FootnoteText"/>
        <w:spacing w:line="480" w:lineRule="auto"/>
        <w:ind w:left="720" w:hanging="720"/>
        <w:contextualSpacing/>
      </w:pPr>
      <w:r w:rsidRPr="00CE4690">
        <w:rPr>
          <w:rStyle w:val="FootnoteReference"/>
        </w:rPr>
        <w:footnoteRef/>
      </w:r>
      <w:r w:rsidRPr="00CE4690">
        <w:rPr>
          <w:lang w:val="es-ES"/>
        </w:rPr>
        <w:t xml:space="preserve"> Itamar Rabinovich, Robbie Sabel, and Oded Eran. </w:t>
      </w:r>
      <w:r w:rsidRPr="00CE4690">
        <w:t xml:space="preserve">“A century since the Sykes-Picot agreement: Current challenges.” </w:t>
      </w:r>
      <w:r w:rsidRPr="00CE4690">
        <w:rPr>
          <w:i/>
        </w:rPr>
        <w:t>The Institute for National Security Studies (INSS)</w:t>
      </w:r>
      <w:r w:rsidRPr="00CE4690">
        <w:t>. 16 May 2016.</w:t>
      </w:r>
    </w:p>
  </w:footnote>
  <w:footnote w:id="6">
    <w:p w:rsidR="007701FC" w:rsidRPr="00CE4690" w:rsidRDefault="007701FC" w:rsidP="00CE439D">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Robin </w:t>
      </w:r>
      <w:r w:rsidR="00144BE4" w:rsidRPr="00CE4690">
        <w:rPr>
          <w:sz w:val="20"/>
          <w:szCs w:val="20"/>
        </w:rPr>
        <w:t>Wright</w:t>
      </w:r>
      <w:r w:rsidRPr="00CE4690">
        <w:rPr>
          <w:sz w:val="20"/>
          <w:szCs w:val="20"/>
        </w:rPr>
        <w:t xml:space="preserve">. “How the curse of Sykes-Picot still haunts the Middle East.” </w:t>
      </w:r>
      <w:r w:rsidRPr="00CE4690">
        <w:rPr>
          <w:i/>
          <w:sz w:val="20"/>
          <w:szCs w:val="20"/>
        </w:rPr>
        <w:t xml:space="preserve">The New Yorker. </w:t>
      </w:r>
      <w:r w:rsidRPr="00CE4690">
        <w:rPr>
          <w:sz w:val="20"/>
          <w:szCs w:val="20"/>
        </w:rPr>
        <w:t>30 April, 2016. http://www.newyorker.com/news/news-desk/how-the-curse-of-sykes-picot-still-haunts-the-middle-east.</w:t>
      </w:r>
    </w:p>
  </w:footnote>
  <w:footnote w:id="7">
    <w:p w:rsidR="00CE439D" w:rsidRPr="00CE4690" w:rsidRDefault="00CE439D" w:rsidP="00E941D4">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Admin. “A history of Syrian nationalism.” </w:t>
      </w:r>
      <w:r w:rsidRPr="00CE4690">
        <w:rPr>
          <w:i/>
          <w:sz w:val="20"/>
          <w:szCs w:val="20"/>
        </w:rPr>
        <w:t>PSB Newshour</w:t>
      </w:r>
      <w:r w:rsidRPr="00CE4690">
        <w:rPr>
          <w:sz w:val="20"/>
          <w:szCs w:val="20"/>
        </w:rPr>
        <w:t>. 14 Sep. 2006. http://www.pbs.org/newshour/updates/middle_east-july-dec06-syria-national_09-14/.</w:t>
      </w:r>
    </w:p>
  </w:footnote>
  <w:footnote w:id="8">
    <w:p w:rsidR="00263C0F" w:rsidRPr="00CE4690" w:rsidRDefault="00263C0F" w:rsidP="00263C0F">
      <w:pPr>
        <w:ind w:left="720" w:hanging="720"/>
        <w:contextualSpacing/>
      </w:pPr>
      <w:r w:rsidRPr="00CE4690">
        <w:rPr>
          <w:rStyle w:val="FootnoteReference"/>
        </w:rPr>
        <w:footnoteRef/>
      </w:r>
      <w:r w:rsidRPr="00CE4690">
        <w:t xml:space="preserve"> </w:t>
      </w:r>
      <w:r w:rsidRPr="00CE4690">
        <w:rPr>
          <w:sz w:val="20"/>
          <w:szCs w:val="20"/>
        </w:rPr>
        <w:t xml:space="preserve">Tarek Osman. “Why border lines drawn with a ruler in WW1 still rock the Middle East.” </w:t>
      </w:r>
      <w:r w:rsidRPr="00CE4690">
        <w:rPr>
          <w:i/>
          <w:sz w:val="20"/>
          <w:szCs w:val="20"/>
        </w:rPr>
        <w:t xml:space="preserve">BBC News. </w:t>
      </w:r>
      <w:r w:rsidRPr="00CE4690">
        <w:rPr>
          <w:sz w:val="20"/>
          <w:szCs w:val="20"/>
        </w:rPr>
        <w:t>14 Dec. 2013. http://www.bbc.com/news/world-middle-east-25299553.</w:t>
      </w:r>
    </w:p>
  </w:footnote>
  <w:footnote w:id="9">
    <w:p w:rsidR="008D5153" w:rsidRPr="00CE4690" w:rsidRDefault="00E02B32" w:rsidP="00A11D4A">
      <w:pPr>
        <w:ind w:left="720" w:hanging="720"/>
        <w:contextualSpacing/>
        <w:rPr>
          <w:sz w:val="20"/>
          <w:szCs w:val="20"/>
        </w:rPr>
      </w:pPr>
      <w:r w:rsidRPr="00CE4690">
        <w:rPr>
          <w:rStyle w:val="FootnoteReference"/>
        </w:rPr>
        <w:footnoteRef/>
      </w:r>
      <w:r w:rsidRPr="00CE4690">
        <w:t xml:space="preserve"> </w:t>
      </w:r>
      <w:r w:rsidR="00324AE8" w:rsidRPr="00CE4690">
        <w:rPr>
          <w:sz w:val="20"/>
          <w:szCs w:val="20"/>
        </w:rPr>
        <w:t xml:space="preserve">Ayse </w:t>
      </w:r>
      <w:r w:rsidRPr="00CE4690">
        <w:rPr>
          <w:sz w:val="20"/>
          <w:szCs w:val="20"/>
        </w:rPr>
        <w:t>Fildis</w:t>
      </w:r>
      <w:r w:rsidR="008D5153" w:rsidRPr="00CE4690">
        <w:rPr>
          <w:sz w:val="20"/>
          <w:szCs w:val="20"/>
        </w:rPr>
        <w:t xml:space="preserve">T. “The troubles in Syria: Spawned by French divide and rule.” </w:t>
      </w:r>
      <w:r w:rsidR="008D5153" w:rsidRPr="00CE4690">
        <w:rPr>
          <w:i/>
          <w:sz w:val="20"/>
          <w:szCs w:val="20"/>
        </w:rPr>
        <w:t>Middle East Policy Council</w:t>
      </w:r>
      <w:r w:rsidR="008D5153" w:rsidRPr="00CE4690">
        <w:rPr>
          <w:sz w:val="20"/>
          <w:szCs w:val="20"/>
        </w:rPr>
        <w:t>, 18, no. 4, (2017). Accessed February 27, 2017. http://www.mepc.org/journal/middle-east-policy-archives/troubles-syria-spawned-french-divide-and-rule?print.</w:t>
      </w:r>
    </w:p>
  </w:footnote>
  <w:footnote w:id="10">
    <w:p w:rsidR="00E941D4" w:rsidRPr="00CE4690" w:rsidRDefault="00E941D4" w:rsidP="00964A23">
      <w:pPr>
        <w:pStyle w:val="FootnoteText"/>
        <w:spacing w:line="480" w:lineRule="auto"/>
        <w:ind w:left="720" w:hanging="720"/>
        <w:contextualSpacing/>
      </w:pPr>
      <w:r w:rsidRPr="00CE4690">
        <w:rPr>
          <w:rStyle w:val="FootnoteReference"/>
        </w:rPr>
        <w:footnoteRef/>
      </w:r>
      <w:r w:rsidRPr="00CE4690">
        <w:t xml:space="preserve"> Freddy </w:t>
      </w:r>
      <w:r w:rsidR="002B61A0" w:rsidRPr="00CE4690">
        <w:t>Eytan</w:t>
      </w:r>
      <w:r w:rsidRPr="00CE4690">
        <w:t xml:space="preserve">. “The Failures of the International Community in the Middle East since the Sykes-Picot Agreement, 1916-2016.” </w:t>
      </w:r>
      <w:r w:rsidRPr="00CE4690">
        <w:rPr>
          <w:i/>
        </w:rPr>
        <w:t>Jerusalem Center for Public Affairs</w:t>
      </w:r>
      <w:r w:rsidRPr="00CE4690">
        <w:t>. 2017.</w:t>
      </w:r>
    </w:p>
  </w:footnote>
  <w:footnote w:id="11">
    <w:p w:rsidR="00E454F4" w:rsidRPr="00CE4690" w:rsidRDefault="00E454F4" w:rsidP="00E454F4">
      <w:pPr>
        <w:ind w:left="720" w:hanging="720"/>
        <w:contextualSpacing/>
      </w:pPr>
      <w:r w:rsidRPr="00CE4690">
        <w:rPr>
          <w:rStyle w:val="FootnoteReference"/>
        </w:rPr>
        <w:footnoteRef/>
      </w:r>
      <w:r w:rsidRPr="00CE4690">
        <w:t xml:space="preserve"> </w:t>
      </w:r>
      <w:r w:rsidRPr="00CE4690">
        <w:rPr>
          <w:sz w:val="20"/>
          <w:szCs w:val="20"/>
        </w:rPr>
        <w:t xml:space="preserve">Yale Law School. “The Sykes-Picot agreement: 1916.” </w:t>
      </w:r>
      <w:r w:rsidRPr="00CE4690">
        <w:rPr>
          <w:i/>
          <w:sz w:val="20"/>
          <w:szCs w:val="20"/>
        </w:rPr>
        <w:t xml:space="preserve">Lillian Goldman Law Library. </w:t>
      </w:r>
      <w:r w:rsidRPr="00CE4690">
        <w:rPr>
          <w:sz w:val="20"/>
          <w:szCs w:val="20"/>
        </w:rPr>
        <w:t>2008. http://avalon.law.yale.edu/20th_century/sykes.asp.</w:t>
      </w:r>
    </w:p>
    <w:p w:rsidR="00E454F4" w:rsidRPr="00CE4690" w:rsidRDefault="00E454F4">
      <w:pPr>
        <w:pStyle w:val="FootnoteText"/>
      </w:pPr>
    </w:p>
  </w:footnote>
  <w:footnote w:id="12">
    <w:p w:rsidR="00075040" w:rsidRPr="00CE4690" w:rsidRDefault="00075040" w:rsidP="00075040">
      <w:pPr>
        <w:pStyle w:val="FootnoteText"/>
        <w:spacing w:line="480" w:lineRule="auto"/>
        <w:ind w:left="720" w:hanging="720"/>
        <w:contextualSpacing/>
      </w:pPr>
      <w:r w:rsidRPr="00CE4690">
        <w:rPr>
          <w:rStyle w:val="FootnoteReference"/>
        </w:rPr>
        <w:footnoteRef/>
      </w:r>
      <w:r w:rsidRPr="00CE4690">
        <w:rPr>
          <w:lang w:val="es-ES"/>
        </w:rPr>
        <w:t xml:space="preserve"> Itamar Rabinovich, Robbie Sabel, and Oded Eran. </w:t>
      </w:r>
      <w:r w:rsidRPr="00CE4690">
        <w:t xml:space="preserve">“A century since the Sykes-Picot agreement: Current challenges.” </w:t>
      </w:r>
      <w:r w:rsidRPr="00CE4690">
        <w:rPr>
          <w:i/>
        </w:rPr>
        <w:t>The Institute for National Security Studies (INSS)</w:t>
      </w:r>
      <w:r w:rsidRPr="00CE4690">
        <w:t>. 16 May 2016.</w:t>
      </w:r>
    </w:p>
  </w:footnote>
  <w:footnote w:id="13">
    <w:p w:rsidR="00F66286" w:rsidRPr="00CE4690" w:rsidRDefault="00F66286" w:rsidP="00F66286">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Martin Lewis. “Greater Syria and the challenge to Syrian nationalism.” </w:t>
      </w:r>
      <w:r w:rsidRPr="00CE4690">
        <w:rPr>
          <w:i/>
          <w:sz w:val="20"/>
          <w:szCs w:val="20"/>
        </w:rPr>
        <w:t xml:space="preserve">GeoCurrents. </w:t>
      </w:r>
      <w:r w:rsidRPr="00CE4690">
        <w:rPr>
          <w:sz w:val="20"/>
          <w:szCs w:val="20"/>
        </w:rPr>
        <w:t>2 April, 2011. http://www.geocurrents.info/geopolitics/greater-syria-and-the-challenge-to-syrian-nationalism.</w:t>
      </w:r>
    </w:p>
    <w:p w:rsidR="00F66286" w:rsidRPr="00CE4690" w:rsidRDefault="00F66286">
      <w:pPr>
        <w:pStyle w:val="FootnoteText"/>
      </w:pPr>
    </w:p>
  </w:footnote>
  <w:footnote w:id="14">
    <w:p w:rsidR="0010051F" w:rsidRPr="00CE4690" w:rsidRDefault="0010051F" w:rsidP="0010051F">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Khalil Rjaili A. “Boutros al-Boustani.” </w:t>
      </w:r>
      <w:r w:rsidRPr="00CE4690">
        <w:rPr>
          <w:i/>
          <w:sz w:val="20"/>
          <w:szCs w:val="20"/>
        </w:rPr>
        <w:t>UNESCO: International Bureau of Education</w:t>
      </w:r>
      <w:r w:rsidRPr="00CE4690">
        <w:rPr>
          <w:sz w:val="20"/>
          <w:szCs w:val="20"/>
        </w:rPr>
        <w:t>. 2000. http://www.ibe.unesco.org/fileadmin/user_upload/archive/Publications/thinkerspdf/boustane.pdf.</w:t>
      </w:r>
    </w:p>
    <w:p w:rsidR="0010051F" w:rsidRPr="00CE4690" w:rsidRDefault="0010051F">
      <w:pPr>
        <w:pStyle w:val="FootnoteText"/>
      </w:pPr>
    </w:p>
  </w:footnote>
  <w:footnote w:id="15">
    <w:p w:rsidR="00395837" w:rsidRPr="00CE4690" w:rsidRDefault="00395837" w:rsidP="00395837">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Khalil Rjaili A. “Boutros al-Boustani.” </w:t>
      </w:r>
      <w:r w:rsidRPr="00CE4690">
        <w:rPr>
          <w:i/>
          <w:sz w:val="20"/>
          <w:szCs w:val="20"/>
        </w:rPr>
        <w:t>UNESCO: International Bureau of Education</w:t>
      </w:r>
      <w:r w:rsidRPr="00CE4690">
        <w:rPr>
          <w:sz w:val="20"/>
          <w:szCs w:val="20"/>
        </w:rPr>
        <w:t>. 2000. http://www.ibe.unesco.org/fileadmin/user_upload/archive/Publications/thinkerspdf/boustane.pdf.</w:t>
      </w:r>
    </w:p>
  </w:footnote>
  <w:footnote w:id="16">
    <w:p w:rsidR="005703A1" w:rsidRPr="00CE4690" w:rsidRDefault="005703A1" w:rsidP="002B120D">
      <w:pPr>
        <w:ind w:left="720" w:hanging="720"/>
        <w:contextualSpacing/>
        <w:rPr>
          <w:sz w:val="20"/>
          <w:szCs w:val="20"/>
        </w:rPr>
      </w:pPr>
      <w:r w:rsidRPr="00CE4690">
        <w:rPr>
          <w:rStyle w:val="FootnoteReference"/>
        </w:rPr>
        <w:footnoteRef/>
      </w:r>
      <w:r w:rsidR="00992594" w:rsidRPr="00CE4690">
        <w:rPr>
          <w:sz w:val="20"/>
          <w:szCs w:val="20"/>
        </w:rPr>
        <w:t>Ibi</w:t>
      </w:r>
      <w:r w:rsidR="009B4D50" w:rsidRPr="00CE4690">
        <w:rPr>
          <w:sz w:val="20"/>
          <w:szCs w:val="20"/>
        </w:rPr>
        <w:t>d</w:t>
      </w:r>
      <w:r w:rsidRPr="00CE4690">
        <w:rPr>
          <w:sz w:val="20"/>
          <w:szCs w:val="20"/>
        </w:rPr>
        <w:t>.</w:t>
      </w:r>
    </w:p>
  </w:footnote>
  <w:footnote w:id="17">
    <w:p w:rsidR="002B120D" w:rsidRPr="00CE4690" w:rsidRDefault="002B120D">
      <w:pPr>
        <w:pStyle w:val="FootnoteText"/>
      </w:pPr>
      <w:r w:rsidRPr="00CE4690">
        <w:rPr>
          <w:rStyle w:val="FootnoteReference"/>
        </w:rPr>
        <w:footnoteRef/>
      </w:r>
      <w:r w:rsidRPr="00CE4690">
        <w:t xml:space="preserve"> Ibid</w:t>
      </w:r>
    </w:p>
  </w:footnote>
  <w:footnote w:id="18">
    <w:p w:rsidR="00470034" w:rsidRPr="00CE4690" w:rsidRDefault="00470034">
      <w:pPr>
        <w:pStyle w:val="FootnoteText"/>
      </w:pPr>
      <w:r w:rsidRPr="00CE4690">
        <w:rPr>
          <w:rStyle w:val="FootnoteReference"/>
        </w:rPr>
        <w:footnoteRef/>
      </w:r>
      <w:r w:rsidRPr="00CE4690">
        <w:t xml:space="preserve"> Ibid</w:t>
      </w:r>
    </w:p>
  </w:footnote>
  <w:footnote w:id="19">
    <w:p w:rsidR="0058115D" w:rsidRPr="00CE4690" w:rsidRDefault="0058115D" w:rsidP="0058115D">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Khalil Rjaili A. “Boutros al-Boustani.” </w:t>
      </w:r>
      <w:r w:rsidRPr="00CE4690">
        <w:rPr>
          <w:i/>
          <w:sz w:val="20"/>
          <w:szCs w:val="20"/>
        </w:rPr>
        <w:t>UNESCO: International Bureau of Education</w:t>
      </w:r>
      <w:r w:rsidRPr="00CE4690">
        <w:rPr>
          <w:sz w:val="20"/>
          <w:szCs w:val="20"/>
        </w:rPr>
        <w:t>. 2000. http://www.ibe.unesco.org/fileadmin/user_upload/archive/Publications/thinkerspdf/boustane.pdf.</w:t>
      </w:r>
    </w:p>
  </w:footnote>
  <w:footnote w:id="20">
    <w:p w:rsidR="0058115D" w:rsidRPr="00CE4690" w:rsidRDefault="0058115D">
      <w:pPr>
        <w:pStyle w:val="FootnoteText"/>
      </w:pPr>
      <w:r w:rsidRPr="00CE4690">
        <w:rPr>
          <w:rStyle w:val="FootnoteReference"/>
        </w:rPr>
        <w:footnoteRef/>
      </w:r>
      <w:r w:rsidRPr="00CE4690">
        <w:t xml:space="preserve"> Ibid</w:t>
      </w:r>
    </w:p>
  </w:footnote>
  <w:footnote w:id="21">
    <w:p w:rsidR="0058115D" w:rsidRPr="00CE4690" w:rsidRDefault="0058115D">
      <w:pPr>
        <w:pStyle w:val="FootnoteText"/>
      </w:pPr>
      <w:r w:rsidRPr="00CE4690">
        <w:rPr>
          <w:rStyle w:val="FootnoteReference"/>
        </w:rPr>
        <w:footnoteRef/>
      </w:r>
      <w:r w:rsidRPr="00CE4690">
        <w:t xml:space="preserve"> Ibid</w:t>
      </w:r>
    </w:p>
  </w:footnote>
  <w:footnote w:id="22">
    <w:p w:rsidR="00BE59DB" w:rsidRPr="00CE4690" w:rsidRDefault="00BE59DB" w:rsidP="00BE59DB">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Martin Lewis. “Greater Syria and the challenge to Syrian nationalism.” </w:t>
      </w:r>
      <w:r w:rsidRPr="00CE4690">
        <w:rPr>
          <w:i/>
          <w:sz w:val="20"/>
          <w:szCs w:val="20"/>
        </w:rPr>
        <w:t xml:space="preserve">GeoCurrents. </w:t>
      </w:r>
      <w:r w:rsidRPr="00CE4690">
        <w:rPr>
          <w:sz w:val="20"/>
          <w:szCs w:val="20"/>
        </w:rPr>
        <w:t>2 April, 2011. http://www.geocurrents.info/geopolitics/greater-syria-and-the-challenge-to-syrian-nationalism.</w:t>
      </w:r>
    </w:p>
    <w:p w:rsidR="00BE59DB" w:rsidRPr="00CE4690" w:rsidRDefault="00BE59DB">
      <w:pPr>
        <w:pStyle w:val="FootnoteText"/>
      </w:pPr>
    </w:p>
  </w:footnote>
  <w:footnote w:id="23">
    <w:p w:rsidR="00F243B5" w:rsidRPr="00CE4690" w:rsidRDefault="00F243B5" w:rsidP="00F859B3">
      <w:pPr>
        <w:ind w:left="720" w:hanging="720"/>
        <w:contextualSpacing/>
        <w:rPr>
          <w:sz w:val="20"/>
          <w:szCs w:val="20"/>
        </w:rPr>
      </w:pPr>
      <w:r w:rsidRPr="00CE4690">
        <w:rPr>
          <w:rStyle w:val="FootnoteReference"/>
        </w:rPr>
        <w:footnoteRef/>
      </w:r>
      <w:r w:rsidRPr="00CE4690">
        <w:t xml:space="preserve"> </w:t>
      </w:r>
      <w:r w:rsidRPr="00CE4690">
        <w:rPr>
          <w:sz w:val="20"/>
          <w:szCs w:val="20"/>
        </w:rPr>
        <w:t xml:space="preserve">Rahaf Aldoughli. “Revisiting ideological borrowings in Syrian nationalist narratives: Sati ‘al-Husri, Michel ‘Aflaq and Zaki al-Arsuzi.” </w:t>
      </w:r>
      <w:r w:rsidRPr="00CE4690">
        <w:rPr>
          <w:i/>
          <w:sz w:val="20"/>
          <w:szCs w:val="20"/>
        </w:rPr>
        <w:t xml:space="preserve">Syria Studies </w:t>
      </w:r>
      <w:r w:rsidRPr="00CE4690">
        <w:rPr>
          <w:sz w:val="20"/>
          <w:szCs w:val="20"/>
        </w:rPr>
        <w:t>8, no. 1 (2016): 11</w:t>
      </w:r>
    </w:p>
  </w:footnote>
  <w:footnote w:id="24">
    <w:p w:rsidR="00F859B3" w:rsidRPr="00CE4690" w:rsidRDefault="00F859B3" w:rsidP="00F859B3">
      <w:pPr>
        <w:pStyle w:val="FootnoteText"/>
        <w:spacing w:line="480" w:lineRule="auto"/>
        <w:ind w:left="720" w:hanging="720"/>
        <w:contextualSpacing/>
      </w:pPr>
      <w:r w:rsidRPr="00CE4690">
        <w:rPr>
          <w:rStyle w:val="FootnoteReference"/>
        </w:rPr>
        <w:footnoteRef/>
      </w:r>
      <w:r w:rsidRPr="00CE4690">
        <w:t xml:space="preserve"> Khalil Rjaili A. “Boutros al-Boustani.” </w:t>
      </w:r>
      <w:r w:rsidRPr="00CE4690">
        <w:rPr>
          <w:i/>
        </w:rPr>
        <w:t>UNESCO: International Bureau of Education</w:t>
      </w:r>
      <w:r w:rsidRPr="00CE4690">
        <w:t>. 2000. http://www.ibe.unesco.org/fileadmin/user_upload/archive/Publications/thinkerspdf/boustane.pdf.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23798"/>
      <w:docPartObj>
        <w:docPartGallery w:val="Page Numbers (Top of Page)"/>
        <w:docPartUnique/>
      </w:docPartObj>
    </w:sdtPr>
    <w:sdtContent>
      <w:p w:rsidR="00AB6F62" w:rsidRDefault="00AB6F62" w:rsidP="00AB6F62">
        <w:pPr>
          <w:pStyle w:val="Header"/>
          <w:jc w:val="right"/>
        </w:pPr>
        <w:fldSimple w:instr=" PAGE   \* MERGEFORMAT ">
          <w:r w:rsidR="00CD21FF">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2F92"/>
    <w:rsid w:val="00017DCF"/>
    <w:rsid w:val="000237E9"/>
    <w:rsid w:val="00075040"/>
    <w:rsid w:val="00075A90"/>
    <w:rsid w:val="00075D57"/>
    <w:rsid w:val="000803A6"/>
    <w:rsid w:val="000828D7"/>
    <w:rsid w:val="000831CD"/>
    <w:rsid w:val="00084DC9"/>
    <w:rsid w:val="00091326"/>
    <w:rsid w:val="00093CCB"/>
    <w:rsid w:val="000C09A6"/>
    <w:rsid w:val="000D1D24"/>
    <w:rsid w:val="000E2897"/>
    <w:rsid w:val="000E6E9A"/>
    <w:rsid w:val="000E6FBE"/>
    <w:rsid w:val="000F32F4"/>
    <w:rsid w:val="000F58B5"/>
    <w:rsid w:val="0010051F"/>
    <w:rsid w:val="00106B18"/>
    <w:rsid w:val="00117DA9"/>
    <w:rsid w:val="00120ED4"/>
    <w:rsid w:val="001265A9"/>
    <w:rsid w:val="0013585A"/>
    <w:rsid w:val="00144BE4"/>
    <w:rsid w:val="00150BCF"/>
    <w:rsid w:val="00157B29"/>
    <w:rsid w:val="001620CA"/>
    <w:rsid w:val="0016794C"/>
    <w:rsid w:val="0017178C"/>
    <w:rsid w:val="00177777"/>
    <w:rsid w:val="00184503"/>
    <w:rsid w:val="0019066B"/>
    <w:rsid w:val="0019129F"/>
    <w:rsid w:val="00195A79"/>
    <w:rsid w:val="001A1573"/>
    <w:rsid w:val="001B1500"/>
    <w:rsid w:val="001C2072"/>
    <w:rsid w:val="001C59C2"/>
    <w:rsid w:val="001E3774"/>
    <w:rsid w:val="001F5D10"/>
    <w:rsid w:val="002101F4"/>
    <w:rsid w:val="00234E1C"/>
    <w:rsid w:val="00246804"/>
    <w:rsid w:val="00263C0F"/>
    <w:rsid w:val="00264FCD"/>
    <w:rsid w:val="00277711"/>
    <w:rsid w:val="00277C8F"/>
    <w:rsid w:val="00282345"/>
    <w:rsid w:val="00287361"/>
    <w:rsid w:val="0029359C"/>
    <w:rsid w:val="002A1F1B"/>
    <w:rsid w:val="002B120D"/>
    <w:rsid w:val="002B61A0"/>
    <w:rsid w:val="002C0D10"/>
    <w:rsid w:val="002D05D6"/>
    <w:rsid w:val="002D297F"/>
    <w:rsid w:val="002D70A1"/>
    <w:rsid w:val="002E0800"/>
    <w:rsid w:val="002E130B"/>
    <w:rsid w:val="002E1E9C"/>
    <w:rsid w:val="002E5EA1"/>
    <w:rsid w:val="002F085F"/>
    <w:rsid w:val="002F61F0"/>
    <w:rsid w:val="002F6583"/>
    <w:rsid w:val="002F7C43"/>
    <w:rsid w:val="003000D8"/>
    <w:rsid w:val="00306B8B"/>
    <w:rsid w:val="00322CD2"/>
    <w:rsid w:val="00324AE8"/>
    <w:rsid w:val="0032531A"/>
    <w:rsid w:val="00325FDE"/>
    <w:rsid w:val="00333BD0"/>
    <w:rsid w:val="00335772"/>
    <w:rsid w:val="003375E5"/>
    <w:rsid w:val="00362058"/>
    <w:rsid w:val="00372660"/>
    <w:rsid w:val="00395837"/>
    <w:rsid w:val="00395ABE"/>
    <w:rsid w:val="003A02A1"/>
    <w:rsid w:val="003A7127"/>
    <w:rsid w:val="003B54CF"/>
    <w:rsid w:val="003C0B56"/>
    <w:rsid w:val="003C2281"/>
    <w:rsid w:val="003C69DC"/>
    <w:rsid w:val="003D4CC5"/>
    <w:rsid w:val="003F3092"/>
    <w:rsid w:val="003F336D"/>
    <w:rsid w:val="003F360B"/>
    <w:rsid w:val="003F5E33"/>
    <w:rsid w:val="003F6A4A"/>
    <w:rsid w:val="00402B21"/>
    <w:rsid w:val="00423142"/>
    <w:rsid w:val="004311CA"/>
    <w:rsid w:val="0043216C"/>
    <w:rsid w:val="00454675"/>
    <w:rsid w:val="00455D17"/>
    <w:rsid w:val="00456261"/>
    <w:rsid w:val="004578F0"/>
    <w:rsid w:val="004602DE"/>
    <w:rsid w:val="004672DC"/>
    <w:rsid w:val="00470034"/>
    <w:rsid w:val="00474EF4"/>
    <w:rsid w:val="00475DA4"/>
    <w:rsid w:val="00480F6F"/>
    <w:rsid w:val="004841A5"/>
    <w:rsid w:val="00487533"/>
    <w:rsid w:val="004A10E4"/>
    <w:rsid w:val="004A26A6"/>
    <w:rsid w:val="004A79C4"/>
    <w:rsid w:val="004B44BB"/>
    <w:rsid w:val="004B7D1C"/>
    <w:rsid w:val="004E7807"/>
    <w:rsid w:val="00502BA9"/>
    <w:rsid w:val="00503837"/>
    <w:rsid w:val="00511ADF"/>
    <w:rsid w:val="00521AB4"/>
    <w:rsid w:val="00523F7F"/>
    <w:rsid w:val="005262D4"/>
    <w:rsid w:val="005325D2"/>
    <w:rsid w:val="005362F2"/>
    <w:rsid w:val="00541560"/>
    <w:rsid w:val="00543935"/>
    <w:rsid w:val="005558B0"/>
    <w:rsid w:val="005633B2"/>
    <w:rsid w:val="0056381B"/>
    <w:rsid w:val="00563B01"/>
    <w:rsid w:val="005703A1"/>
    <w:rsid w:val="0057085F"/>
    <w:rsid w:val="00572A23"/>
    <w:rsid w:val="00572B90"/>
    <w:rsid w:val="0058115D"/>
    <w:rsid w:val="005A21A4"/>
    <w:rsid w:val="005A3D5A"/>
    <w:rsid w:val="005C2CAA"/>
    <w:rsid w:val="005C6905"/>
    <w:rsid w:val="005D1F56"/>
    <w:rsid w:val="005D3F9B"/>
    <w:rsid w:val="005F0A5E"/>
    <w:rsid w:val="005F317F"/>
    <w:rsid w:val="005F528C"/>
    <w:rsid w:val="006071E1"/>
    <w:rsid w:val="0061402F"/>
    <w:rsid w:val="00615AE5"/>
    <w:rsid w:val="00615F22"/>
    <w:rsid w:val="006229BF"/>
    <w:rsid w:val="0062504D"/>
    <w:rsid w:val="00630F0F"/>
    <w:rsid w:val="00647A2F"/>
    <w:rsid w:val="00653BF5"/>
    <w:rsid w:val="00671FF4"/>
    <w:rsid w:val="00682496"/>
    <w:rsid w:val="0068483F"/>
    <w:rsid w:val="006854DF"/>
    <w:rsid w:val="00691F4F"/>
    <w:rsid w:val="006B199D"/>
    <w:rsid w:val="006D1FA5"/>
    <w:rsid w:val="006D52A0"/>
    <w:rsid w:val="006E0E2D"/>
    <w:rsid w:val="006E1952"/>
    <w:rsid w:val="006E5244"/>
    <w:rsid w:val="00717C7F"/>
    <w:rsid w:val="00721BB5"/>
    <w:rsid w:val="007221CE"/>
    <w:rsid w:val="00722A45"/>
    <w:rsid w:val="00734CD1"/>
    <w:rsid w:val="00741708"/>
    <w:rsid w:val="00741907"/>
    <w:rsid w:val="007429CC"/>
    <w:rsid w:val="007461CA"/>
    <w:rsid w:val="00750C2F"/>
    <w:rsid w:val="007528A2"/>
    <w:rsid w:val="007701FC"/>
    <w:rsid w:val="007839E4"/>
    <w:rsid w:val="007859B6"/>
    <w:rsid w:val="007877A5"/>
    <w:rsid w:val="00787A16"/>
    <w:rsid w:val="0079063D"/>
    <w:rsid w:val="007A2345"/>
    <w:rsid w:val="007A356D"/>
    <w:rsid w:val="007A751D"/>
    <w:rsid w:val="007B09B7"/>
    <w:rsid w:val="007B22FF"/>
    <w:rsid w:val="007C0161"/>
    <w:rsid w:val="007C3E81"/>
    <w:rsid w:val="007C7098"/>
    <w:rsid w:val="007D2B9F"/>
    <w:rsid w:val="007E03A1"/>
    <w:rsid w:val="007E3C54"/>
    <w:rsid w:val="007F50D5"/>
    <w:rsid w:val="007F75EF"/>
    <w:rsid w:val="008001A3"/>
    <w:rsid w:val="0080379B"/>
    <w:rsid w:val="00804A2C"/>
    <w:rsid w:val="00806D88"/>
    <w:rsid w:val="00811877"/>
    <w:rsid w:val="00824014"/>
    <w:rsid w:val="008277BF"/>
    <w:rsid w:val="0083296E"/>
    <w:rsid w:val="00834E69"/>
    <w:rsid w:val="0083529D"/>
    <w:rsid w:val="008418E1"/>
    <w:rsid w:val="0084797F"/>
    <w:rsid w:val="00852ADA"/>
    <w:rsid w:val="00857B47"/>
    <w:rsid w:val="00871FCD"/>
    <w:rsid w:val="00874104"/>
    <w:rsid w:val="00895336"/>
    <w:rsid w:val="008A34B6"/>
    <w:rsid w:val="008A623A"/>
    <w:rsid w:val="008B3B52"/>
    <w:rsid w:val="008B3D06"/>
    <w:rsid w:val="008D41AF"/>
    <w:rsid w:val="008D5153"/>
    <w:rsid w:val="008D70F7"/>
    <w:rsid w:val="008E02AE"/>
    <w:rsid w:val="008F329B"/>
    <w:rsid w:val="00903AC9"/>
    <w:rsid w:val="00907338"/>
    <w:rsid w:val="00913432"/>
    <w:rsid w:val="009177CA"/>
    <w:rsid w:val="00921CB8"/>
    <w:rsid w:val="0092288D"/>
    <w:rsid w:val="00923D1D"/>
    <w:rsid w:val="00927803"/>
    <w:rsid w:val="00932005"/>
    <w:rsid w:val="0093631E"/>
    <w:rsid w:val="00942CAA"/>
    <w:rsid w:val="00960693"/>
    <w:rsid w:val="0096074B"/>
    <w:rsid w:val="00964A23"/>
    <w:rsid w:val="00967389"/>
    <w:rsid w:val="00970249"/>
    <w:rsid w:val="00970291"/>
    <w:rsid w:val="00972D9A"/>
    <w:rsid w:val="00976496"/>
    <w:rsid w:val="0098242E"/>
    <w:rsid w:val="00983E35"/>
    <w:rsid w:val="00985C7E"/>
    <w:rsid w:val="00986F54"/>
    <w:rsid w:val="00992594"/>
    <w:rsid w:val="00992ADF"/>
    <w:rsid w:val="009B3338"/>
    <w:rsid w:val="009B4D50"/>
    <w:rsid w:val="009B61C3"/>
    <w:rsid w:val="009C08D0"/>
    <w:rsid w:val="009C242A"/>
    <w:rsid w:val="009C62E9"/>
    <w:rsid w:val="009D0027"/>
    <w:rsid w:val="009D08EC"/>
    <w:rsid w:val="009E2EED"/>
    <w:rsid w:val="009E2F44"/>
    <w:rsid w:val="009F2738"/>
    <w:rsid w:val="009F3BFE"/>
    <w:rsid w:val="009F54ED"/>
    <w:rsid w:val="00A1107C"/>
    <w:rsid w:val="00A11D4A"/>
    <w:rsid w:val="00A144D9"/>
    <w:rsid w:val="00A261CE"/>
    <w:rsid w:val="00A31095"/>
    <w:rsid w:val="00A31AD2"/>
    <w:rsid w:val="00A37C45"/>
    <w:rsid w:val="00A41133"/>
    <w:rsid w:val="00A5191E"/>
    <w:rsid w:val="00A76021"/>
    <w:rsid w:val="00A9040E"/>
    <w:rsid w:val="00A965D4"/>
    <w:rsid w:val="00AB10E9"/>
    <w:rsid w:val="00AB6F62"/>
    <w:rsid w:val="00AE3AB3"/>
    <w:rsid w:val="00AE612C"/>
    <w:rsid w:val="00B02C52"/>
    <w:rsid w:val="00B03540"/>
    <w:rsid w:val="00B16BD2"/>
    <w:rsid w:val="00B17403"/>
    <w:rsid w:val="00B20AA9"/>
    <w:rsid w:val="00B26DEE"/>
    <w:rsid w:val="00B271C8"/>
    <w:rsid w:val="00B2786E"/>
    <w:rsid w:val="00B371E6"/>
    <w:rsid w:val="00B51707"/>
    <w:rsid w:val="00B757A4"/>
    <w:rsid w:val="00B75D4A"/>
    <w:rsid w:val="00B83BFC"/>
    <w:rsid w:val="00B8564A"/>
    <w:rsid w:val="00B9045B"/>
    <w:rsid w:val="00B9427B"/>
    <w:rsid w:val="00BA3248"/>
    <w:rsid w:val="00BC1410"/>
    <w:rsid w:val="00BD4F9B"/>
    <w:rsid w:val="00BE1001"/>
    <w:rsid w:val="00BE3561"/>
    <w:rsid w:val="00BE4999"/>
    <w:rsid w:val="00BE59DB"/>
    <w:rsid w:val="00C014E8"/>
    <w:rsid w:val="00C0569E"/>
    <w:rsid w:val="00C06076"/>
    <w:rsid w:val="00C16457"/>
    <w:rsid w:val="00C249D3"/>
    <w:rsid w:val="00C27338"/>
    <w:rsid w:val="00C3489C"/>
    <w:rsid w:val="00C37AF9"/>
    <w:rsid w:val="00C431FE"/>
    <w:rsid w:val="00C4610C"/>
    <w:rsid w:val="00C51003"/>
    <w:rsid w:val="00C61EDF"/>
    <w:rsid w:val="00C627C9"/>
    <w:rsid w:val="00C65012"/>
    <w:rsid w:val="00C65271"/>
    <w:rsid w:val="00C74212"/>
    <w:rsid w:val="00C75A53"/>
    <w:rsid w:val="00C85524"/>
    <w:rsid w:val="00C90722"/>
    <w:rsid w:val="00C93BA6"/>
    <w:rsid w:val="00CB163C"/>
    <w:rsid w:val="00CB2B58"/>
    <w:rsid w:val="00CC6485"/>
    <w:rsid w:val="00CC6B81"/>
    <w:rsid w:val="00CD06C5"/>
    <w:rsid w:val="00CD21FF"/>
    <w:rsid w:val="00CD33FB"/>
    <w:rsid w:val="00CE439D"/>
    <w:rsid w:val="00CE4690"/>
    <w:rsid w:val="00CF0F37"/>
    <w:rsid w:val="00D03206"/>
    <w:rsid w:val="00D04F05"/>
    <w:rsid w:val="00D06C78"/>
    <w:rsid w:val="00D07648"/>
    <w:rsid w:val="00D15102"/>
    <w:rsid w:val="00D25DC6"/>
    <w:rsid w:val="00D2737B"/>
    <w:rsid w:val="00D337E5"/>
    <w:rsid w:val="00D50237"/>
    <w:rsid w:val="00D526C6"/>
    <w:rsid w:val="00D5348E"/>
    <w:rsid w:val="00D558C3"/>
    <w:rsid w:val="00D627C6"/>
    <w:rsid w:val="00D77B19"/>
    <w:rsid w:val="00D820B0"/>
    <w:rsid w:val="00D87289"/>
    <w:rsid w:val="00DA0011"/>
    <w:rsid w:val="00DB080E"/>
    <w:rsid w:val="00DB79C0"/>
    <w:rsid w:val="00DC1917"/>
    <w:rsid w:val="00DE7FA3"/>
    <w:rsid w:val="00E02B32"/>
    <w:rsid w:val="00E034F7"/>
    <w:rsid w:val="00E043C8"/>
    <w:rsid w:val="00E044E9"/>
    <w:rsid w:val="00E164EA"/>
    <w:rsid w:val="00E31D85"/>
    <w:rsid w:val="00E32F92"/>
    <w:rsid w:val="00E448C7"/>
    <w:rsid w:val="00E454F4"/>
    <w:rsid w:val="00E52A3B"/>
    <w:rsid w:val="00E560FE"/>
    <w:rsid w:val="00E57FAC"/>
    <w:rsid w:val="00E67536"/>
    <w:rsid w:val="00E809A6"/>
    <w:rsid w:val="00E829ED"/>
    <w:rsid w:val="00E864D2"/>
    <w:rsid w:val="00E917DB"/>
    <w:rsid w:val="00E941D4"/>
    <w:rsid w:val="00E95BD4"/>
    <w:rsid w:val="00EA0580"/>
    <w:rsid w:val="00EA3E5F"/>
    <w:rsid w:val="00EA5FE5"/>
    <w:rsid w:val="00EA6953"/>
    <w:rsid w:val="00EB7250"/>
    <w:rsid w:val="00EB74C0"/>
    <w:rsid w:val="00EB7700"/>
    <w:rsid w:val="00EB7A3A"/>
    <w:rsid w:val="00EC0989"/>
    <w:rsid w:val="00EC4E7C"/>
    <w:rsid w:val="00EC6B8F"/>
    <w:rsid w:val="00ED671D"/>
    <w:rsid w:val="00ED69D4"/>
    <w:rsid w:val="00EE1B9A"/>
    <w:rsid w:val="00EF5E8D"/>
    <w:rsid w:val="00F04CB2"/>
    <w:rsid w:val="00F143C8"/>
    <w:rsid w:val="00F170C9"/>
    <w:rsid w:val="00F2172A"/>
    <w:rsid w:val="00F243B5"/>
    <w:rsid w:val="00F26938"/>
    <w:rsid w:val="00F270E3"/>
    <w:rsid w:val="00F33395"/>
    <w:rsid w:val="00F43B31"/>
    <w:rsid w:val="00F53495"/>
    <w:rsid w:val="00F537B1"/>
    <w:rsid w:val="00F53CB7"/>
    <w:rsid w:val="00F552E5"/>
    <w:rsid w:val="00F66286"/>
    <w:rsid w:val="00F6700F"/>
    <w:rsid w:val="00F67908"/>
    <w:rsid w:val="00F67EEA"/>
    <w:rsid w:val="00F74DD0"/>
    <w:rsid w:val="00F7564D"/>
    <w:rsid w:val="00F806DD"/>
    <w:rsid w:val="00F811B8"/>
    <w:rsid w:val="00F859B3"/>
    <w:rsid w:val="00F93D63"/>
    <w:rsid w:val="00F97B61"/>
    <w:rsid w:val="00FB1E87"/>
    <w:rsid w:val="00FC3CCD"/>
    <w:rsid w:val="00FC4CA5"/>
    <w:rsid w:val="00FE3073"/>
    <w:rsid w:val="00FE48CA"/>
    <w:rsid w:val="00FF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93"/>
    <w:rPr>
      <w:rFonts w:ascii="Tahoma" w:hAnsi="Tahoma" w:cs="Tahoma"/>
      <w:sz w:val="16"/>
      <w:szCs w:val="16"/>
    </w:rPr>
  </w:style>
  <w:style w:type="paragraph" w:styleId="Header">
    <w:name w:val="header"/>
    <w:basedOn w:val="Normal"/>
    <w:link w:val="HeaderChar"/>
    <w:uiPriority w:val="99"/>
    <w:unhideWhenUsed/>
    <w:rsid w:val="00AB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F62"/>
  </w:style>
  <w:style w:type="paragraph" w:styleId="Footer">
    <w:name w:val="footer"/>
    <w:basedOn w:val="Normal"/>
    <w:link w:val="FooterChar"/>
    <w:uiPriority w:val="99"/>
    <w:semiHidden/>
    <w:unhideWhenUsed/>
    <w:rsid w:val="00AB6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F62"/>
  </w:style>
  <w:style w:type="paragraph" w:styleId="FootnoteText">
    <w:name w:val="footnote text"/>
    <w:basedOn w:val="Normal"/>
    <w:link w:val="FootnoteTextChar"/>
    <w:uiPriority w:val="99"/>
    <w:semiHidden/>
    <w:unhideWhenUsed/>
    <w:rsid w:val="00847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97F"/>
    <w:rPr>
      <w:sz w:val="20"/>
      <w:szCs w:val="20"/>
    </w:rPr>
  </w:style>
  <w:style w:type="character" w:styleId="FootnoteReference">
    <w:name w:val="footnote reference"/>
    <w:basedOn w:val="DefaultParagraphFont"/>
    <w:uiPriority w:val="99"/>
    <w:semiHidden/>
    <w:unhideWhenUsed/>
    <w:rsid w:val="0084797F"/>
    <w:rPr>
      <w:vertAlign w:val="superscript"/>
    </w:rPr>
  </w:style>
</w:styles>
</file>

<file path=word/webSettings.xml><?xml version="1.0" encoding="utf-8"?>
<w:webSettings xmlns:r="http://schemas.openxmlformats.org/officeDocument/2006/relationships" xmlns:w="http://schemas.openxmlformats.org/wordprocessingml/2006/main">
  <w:divs>
    <w:div w:id="447818284">
      <w:bodyDiv w:val="1"/>
      <w:marLeft w:val="0"/>
      <w:marRight w:val="0"/>
      <w:marTop w:val="0"/>
      <w:marBottom w:val="0"/>
      <w:divBdr>
        <w:top w:val="none" w:sz="0" w:space="0" w:color="auto"/>
        <w:left w:val="none" w:sz="0" w:space="0" w:color="auto"/>
        <w:bottom w:val="none" w:sz="0" w:space="0" w:color="auto"/>
        <w:right w:val="none" w:sz="0" w:space="0" w:color="auto"/>
      </w:divBdr>
    </w:div>
    <w:div w:id="1256329368">
      <w:bodyDiv w:val="1"/>
      <w:marLeft w:val="0"/>
      <w:marRight w:val="0"/>
      <w:marTop w:val="0"/>
      <w:marBottom w:val="0"/>
      <w:divBdr>
        <w:top w:val="none" w:sz="0" w:space="0" w:color="auto"/>
        <w:left w:val="none" w:sz="0" w:space="0" w:color="auto"/>
        <w:bottom w:val="none" w:sz="0" w:space="0" w:color="auto"/>
        <w:right w:val="none" w:sz="0" w:space="0" w:color="auto"/>
      </w:divBdr>
    </w:div>
    <w:div w:id="1414548057">
      <w:bodyDiv w:val="1"/>
      <w:marLeft w:val="0"/>
      <w:marRight w:val="0"/>
      <w:marTop w:val="0"/>
      <w:marBottom w:val="0"/>
      <w:divBdr>
        <w:top w:val="none" w:sz="0" w:space="0" w:color="auto"/>
        <w:left w:val="none" w:sz="0" w:space="0" w:color="auto"/>
        <w:bottom w:val="none" w:sz="0" w:space="0" w:color="auto"/>
        <w:right w:val="none" w:sz="0" w:space="0" w:color="auto"/>
      </w:divBdr>
    </w:div>
    <w:div w:id="1416366599">
      <w:bodyDiv w:val="1"/>
      <w:marLeft w:val="0"/>
      <w:marRight w:val="0"/>
      <w:marTop w:val="0"/>
      <w:marBottom w:val="0"/>
      <w:divBdr>
        <w:top w:val="none" w:sz="0" w:space="0" w:color="auto"/>
        <w:left w:val="none" w:sz="0" w:space="0" w:color="auto"/>
        <w:bottom w:val="none" w:sz="0" w:space="0" w:color="auto"/>
        <w:right w:val="none" w:sz="0" w:space="0" w:color="auto"/>
      </w:divBdr>
    </w:div>
    <w:div w:id="20129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13</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529</cp:revision>
  <dcterms:created xsi:type="dcterms:W3CDTF">2017-02-27T05:58:00Z</dcterms:created>
  <dcterms:modified xsi:type="dcterms:W3CDTF">2017-02-27T20:58:00Z</dcterms:modified>
</cp:coreProperties>
</file>