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F08" w:rsidRDefault="00081F08" w:rsidP="00081F08">
      <w:pPr>
        <w:spacing w:line="480" w:lineRule="auto"/>
        <w:jc w:val="center"/>
      </w:pPr>
    </w:p>
    <w:p w:rsidR="00081F08" w:rsidRDefault="00081F08" w:rsidP="00081F08">
      <w:pPr>
        <w:spacing w:line="480" w:lineRule="auto"/>
        <w:jc w:val="center"/>
      </w:pPr>
    </w:p>
    <w:p w:rsidR="00081F08" w:rsidRDefault="00081F08" w:rsidP="00081F08">
      <w:pPr>
        <w:spacing w:line="480" w:lineRule="auto"/>
        <w:jc w:val="center"/>
      </w:pPr>
    </w:p>
    <w:p w:rsidR="00081F08" w:rsidRDefault="00081F08" w:rsidP="00081F08">
      <w:pPr>
        <w:spacing w:line="480" w:lineRule="auto"/>
        <w:jc w:val="center"/>
      </w:pPr>
      <w:r>
        <w:t>UNIVERSITY</w:t>
      </w:r>
    </w:p>
    <w:p w:rsidR="00081F08" w:rsidRDefault="00081F08" w:rsidP="00081F08">
      <w:pPr>
        <w:spacing w:line="480" w:lineRule="auto"/>
        <w:jc w:val="center"/>
      </w:pPr>
    </w:p>
    <w:p w:rsidR="00081F08" w:rsidRDefault="00081F08" w:rsidP="00081F08">
      <w:pPr>
        <w:spacing w:line="480" w:lineRule="auto"/>
        <w:jc w:val="center"/>
      </w:pPr>
      <w:r>
        <w:t>The Origin of Sin</w:t>
      </w:r>
    </w:p>
    <w:p w:rsidR="00081F08" w:rsidRDefault="00081F08" w:rsidP="00081F08">
      <w:pPr>
        <w:spacing w:line="480" w:lineRule="auto"/>
        <w:jc w:val="center"/>
      </w:pPr>
    </w:p>
    <w:p w:rsidR="00081F08" w:rsidRDefault="00081F08" w:rsidP="00081F08">
      <w:pPr>
        <w:spacing w:line="480" w:lineRule="auto"/>
        <w:jc w:val="center"/>
      </w:pPr>
    </w:p>
    <w:p w:rsidR="00081F08" w:rsidRDefault="00081F08" w:rsidP="00081F08">
      <w:pPr>
        <w:spacing w:line="480" w:lineRule="auto"/>
        <w:jc w:val="center"/>
      </w:pPr>
    </w:p>
    <w:p w:rsidR="00081F08" w:rsidRDefault="00081F08" w:rsidP="00081F08">
      <w:pPr>
        <w:spacing w:line="480" w:lineRule="auto"/>
        <w:jc w:val="center"/>
      </w:pPr>
    </w:p>
    <w:p w:rsidR="00081F08" w:rsidRDefault="00081F08" w:rsidP="00081F08">
      <w:pPr>
        <w:spacing w:line="480" w:lineRule="auto"/>
        <w:jc w:val="center"/>
      </w:pPr>
      <w:r>
        <w:t>Name</w:t>
      </w:r>
    </w:p>
    <w:p w:rsidR="00081F08" w:rsidRDefault="00081F08" w:rsidP="00081F08">
      <w:pPr>
        <w:spacing w:line="480" w:lineRule="auto"/>
        <w:jc w:val="center"/>
      </w:pPr>
      <w:r>
        <w:t>Course</w:t>
      </w:r>
    </w:p>
    <w:p w:rsidR="00081F08" w:rsidRDefault="00081F08" w:rsidP="00081F08">
      <w:pPr>
        <w:spacing w:line="480" w:lineRule="auto"/>
        <w:jc w:val="center"/>
      </w:pPr>
    </w:p>
    <w:p w:rsidR="00081F08" w:rsidRDefault="00081F08" w:rsidP="00081F08">
      <w:pPr>
        <w:spacing w:line="480" w:lineRule="auto"/>
        <w:jc w:val="center"/>
      </w:pPr>
    </w:p>
    <w:p w:rsidR="00081F08" w:rsidRDefault="00081F08" w:rsidP="00081F08">
      <w:pPr>
        <w:spacing w:line="480" w:lineRule="auto"/>
        <w:jc w:val="center"/>
      </w:pPr>
      <w:r>
        <w:t>Date</w:t>
      </w:r>
    </w:p>
    <w:p w:rsidR="00081F08" w:rsidRDefault="00081F08" w:rsidP="00081F08">
      <w:pPr>
        <w:spacing w:line="480" w:lineRule="auto"/>
        <w:jc w:val="center"/>
      </w:pPr>
    </w:p>
    <w:p w:rsidR="00081F08" w:rsidRDefault="00081F08" w:rsidP="00081F08">
      <w:pPr>
        <w:spacing w:line="480" w:lineRule="auto"/>
        <w:jc w:val="center"/>
      </w:pPr>
    </w:p>
    <w:p w:rsidR="00A767DA" w:rsidRDefault="00D0750D" w:rsidP="00081F08">
      <w:pPr>
        <w:spacing w:line="480" w:lineRule="auto"/>
        <w:jc w:val="center"/>
      </w:pPr>
      <w:bookmarkStart w:id="0" w:name="_GoBack"/>
      <w:bookmarkEnd w:id="0"/>
      <w:r>
        <w:lastRenderedPageBreak/>
        <w:t>The Origin of Sin</w:t>
      </w:r>
    </w:p>
    <w:p w:rsidR="00D0750D" w:rsidRPr="00081F08" w:rsidRDefault="00262A2F" w:rsidP="00081F08">
      <w:pPr>
        <w:spacing w:line="480" w:lineRule="auto"/>
        <w:jc w:val="center"/>
        <w:rPr>
          <w:b/>
        </w:rPr>
      </w:pPr>
      <w:r w:rsidRPr="00081F08">
        <w:rPr>
          <w:b/>
        </w:rPr>
        <w:t>Statement of the Topic</w:t>
      </w:r>
    </w:p>
    <w:p w:rsidR="00262A2F" w:rsidRDefault="00262A2F" w:rsidP="00081F08">
      <w:pPr>
        <w:spacing w:line="480" w:lineRule="auto"/>
        <w:ind w:firstLine="720"/>
      </w:pPr>
      <w:r>
        <w:t xml:space="preserve">The doctrine on the origin of sin remains a highly contested issue among different schools of philosophy. </w:t>
      </w:r>
      <w:r w:rsidR="00615D15">
        <w:t xml:space="preserve">However, in the biblical view, sin originated from the acts of Adam and Eve. In the Old Testament in the book of genesis, the act of eating the forbidden fruit bore the first sin of humanity. Thus, sin is considered anything evil or that does not follow God’s liking or something that is ungodly. Nonetheless, in theology, the origin of sin has come under increased scrutiny from philosophical thinker to even science. The following paper aims at discussing the origin of sin. </w:t>
      </w:r>
    </w:p>
    <w:p w:rsidR="00615D15" w:rsidRPr="00081F08" w:rsidRDefault="00615D15" w:rsidP="00081F08">
      <w:pPr>
        <w:spacing w:line="480" w:lineRule="auto"/>
        <w:jc w:val="center"/>
        <w:rPr>
          <w:b/>
        </w:rPr>
      </w:pPr>
      <w:r w:rsidRPr="00081F08">
        <w:rPr>
          <w:b/>
        </w:rPr>
        <w:t>Philosophical Foundation or Presupposition</w:t>
      </w:r>
    </w:p>
    <w:p w:rsidR="00617879" w:rsidRDefault="00615D15" w:rsidP="00081F08">
      <w:pPr>
        <w:spacing w:line="480" w:lineRule="auto"/>
        <w:ind w:firstLine="720"/>
      </w:pPr>
      <w:r>
        <w:t xml:space="preserve">The doctrine of sin cannot be justified without the religious viewpoint or referring back to the bible. This is because science tends to </w:t>
      </w:r>
      <w:r w:rsidR="00635B26">
        <w:t>ignore the bible totally meaning that</w:t>
      </w:r>
      <w:r>
        <w:t xml:space="preserve"> </w:t>
      </w:r>
      <w:r w:rsidR="00635B26">
        <w:t>sin would not be discussed effectively without the biblical viewpoint. The origin of sin takes numerous forms or philosophical assumptions in the bible. The first view is that sin began during the fall of the angles from heaven. In John 8:44, Jesus refers to the devil as a murderer and in this view people believe that the devil was the first to commit a sin</w:t>
      </w:r>
      <w:r w:rsidR="000E5C64">
        <w:rPr>
          <w:rStyle w:val="FootnoteReference"/>
        </w:rPr>
        <w:footnoteReference w:id="1"/>
      </w:r>
      <w:r w:rsidR="00635B26">
        <w:t xml:space="preserve">. Although this is not talked about much in the bible, there are indications that sin originated from the angles. The second philosophical </w:t>
      </w:r>
      <w:r w:rsidR="00FE4C9A">
        <w:t xml:space="preserve">assumption focuses on Adam and Eve. Eve was tempted by the devil in the form of a serpent to eat the forbidden fruit of knowledge or good and evil. Although it is highly contested how a </w:t>
      </w:r>
      <w:r w:rsidR="00FE4C9A">
        <w:lastRenderedPageBreak/>
        <w:t>snake could talk, the basic ideology is that eve gave in to temptation and ate the forbidden fruit</w:t>
      </w:r>
      <w:r w:rsidR="001A05D4">
        <w:rPr>
          <w:rStyle w:val="FootnoteReference"/>
        </w:rPr>
        <w:footnoteReference w:id="2"/>
      </w:r>
      <w:r w:rsidR="00FE4C9A">
        <w:t xml:space="preserve">. Later, Eve also tempered Adam to eat the fruit, which he did becoming the origin of sin in the human race. Being the only human in the world and having been the first to be created, Adam and Eve had given in to temptation leading to the origin of sin. </w:t>
      </w:r>
      <w:r w:rsidR="00A022FF">
        <w:t>In Romans 5:18</w:t>
      </w:r>
      <w:proofErr w:type="gramStart"/>
      <w:r w:rsidR="00A022FF">
        <w:t>,19</w:t>
      </w:r>
      <w:proofErr w:type="gramEnd"/>
      <w:r w:rsidR="00A022FF">
        <w:t>, it clearly says that it’s through one man’s disobedience that many people became sinner and it is through the obedience of the one that others will become righteous</w:t>
      </w:r>
      <w:r w:rsidR="00E15227">
        <w:rPr>
          <w:rStyle w:val="FootnoteReference"/>
        </w:rPr>
        <w:footnoteReference w:id="3"/>
      </w:r>
      <w:r w:rsidR="00A022FF">
        <w:t xml:space="preserve">. </w:t>
      </w:r>
      <w:r w:rsidR="005D4C91">
        <w:t xml:space="preserve">In science, the philosophy of evolution conflicts with the biblical view where </w:t>
      </w:r>
      <w:r w:rsidR="00617879">
        <w:t xml:space="preserve">it refutes that Adam was the first human being. Moreover, popular </w:t>
      </w:r>
      <w:r w:rsidR="009D145F">
        <w:t>philosopher such as Plato regards</w:t>
      </w:r>
      <w:r w:rsidR="00617879">
        <w:t xml:space="preserve"> in to originate from the ignorance of man. Nonetheless, the strongest philosophical foundation on the origins of sin is through the actions of Adam and Eve. </w:t>
      </w:r>
    </w:p>
    <w:p w:rsidR="00617879" w:rsidRPr="00081F08" w:rsidRDefault="00617879" w:rsidP="00081F08">
      <w:pPr>
        <w:spacing w:line="480" w:lineRule="auto"/>
        <w:jc w:val="center"/>
        <w:rPr>
          <w:b/>
        </w:rPr>
      </w:pPr>
      <w:r w:rsidRPr="00081F08">
        <w:rPr>
          <w:b/>
        </w:rPr>
        <w:t>Biblical Evaluation</w:t>
      </w:r>
    </w:p>
    <w:p w:rsidR="00AB55DA" w:rsidRDefault="00322C70" w:rsidP="00081F08">
      <w:pPr>
        <w:spacing w:line="480" w:lineRule="auto"/>
        <w:ind w:firstLine="720"/>
      </w:pPr>
      <w:r>
        <w:t>As said earlier, there are references of sin in the angelic world where angels were the first to commit sin. Firstly this is because sin refers to evil and in the biblical view; God is for good while the devil represents evil. In the book of Jude 6, it comments on the fallen angels that they retained their own principalities and left their proper habitat because they were not satisfied with God or wanted just be as powerful as God</w:t>
      </w:r>
      <w:r w:rsidR="00E15227">
        <w:rPr>
          <w:rStyle w:val="FootnoteReference"/>
        </w:rPr>
        <w:footnoteReference w:id="4"/>
      </w:r>
      <w:r>
        <w:t xml:space="preserve">. Although this is not the mainstream Christian perspective, it has a lot to do with the origin of sin. This is because sin is related directly to the devil. In Genesis, the devil tempted Eve who later tempted Adam to eat the forbidden fruit. Furthermore, the bible clearly indicates that God cannot be tempted and cannot tempt any man. However, the devil is full of temptations is always looking for people to sin or go against God. </w:t>
      </w:r>
      <w:r>
        <w:lastRenderedPageBreak/>
        <w:t xml:space="preserve">Therefore, the falling of the angels can be viewed as the origin of sin especially when understood that sin is being evil or going against God’s wishes. </w:t>
      </w:r>
      <w:r w:rsidR="0072237F">
        <w:t>In the book of Genesis, sin was as a result of Adam and Eve. Their actions were all fueled by the devil temptations where they bound each and every human from becoming sinful or ever threatened by the temptations of the devil. In the book of Job 15:14, sinfulness is viewed or considered a property of humanity</w:t>
      </w:r>
      <w:r w:rsidR="00E15227">
        <w:rPr>
          <w:rStyle w:val="FootnoteReference"/>
        </w:rPr>
        <w:footnoteReference w:id="5"/>
      </w:r>
      <w:r w:rsidR="0072237F">
        <w:t>. This means that sinning is part of humanity or it would not be possible for any man not to sin. However, in the Jeremiah 17:19, it refers to the human heart as the most deceitful thing and claims that sin is part and parcel of the human heart</w:t>
      </w:r>
      <w:r w:rsidR="00E15227">
        <w:rPr>
          <w:rStyle w:val="FootnoteReference"/>
        </w:rPr>
        <w:footnoteReference w:id="6"/>
      </w:r>
      <w:r w:rsidR="0072237F">
        <w:t>. The same case applies in Ecclesiastes 9:3 where it declares that the hearts of the sons of all men are filled with evil and insanity dwells in their hearts all their lives</w:t>
      </w:r>
      <w:r w:rsidR="00E15227">
        <w:rPr>
          <w:rStyle w:val="FootnoteReference"/>
        </w:rPr>
        <w:footnoteReference w:id="7"/>
      </w:r>
      <w:r w:rsidR="0072237F">
        <w:t xml:space="preserve">. Therefore, the origin of sin can be viewed in terms of the human heart. </w:t>
      </w:r>
      <w:r w:rsidR="00AB55DA">
        <w:t>Therefore, the origin of sin is from the devil and the acts committed by Adam and Eve.</w:t>
      </w:r>
    </w:p>
    <w:p w:rsidR="00AA1768" w:rsidRPr="00081F08" w:rsidRDefault="00AA1768" w:rsidP="00081F08">
      <w:pPr>
        <w:spacing w:line="480" w:lineRule="auto"/>
        <w:jc w:val="center"/>
        <w:rPr>
          <w:b/>
        </w:rPr>
      </w:pPr>
      <w:r w:rsidRPr="00081F08">
        <w:rPr>
          <w:b/>
        </w:rPr>
        <w:t>Historical Development</w:t>
      </w:r>
    </w:p>
    <w:p w:rsidR="00AB55DA" w:rsidRDefault="00AA1768" w:rsidP="00081F08">
      <w:pPr>
        <w:spacing w:line="480" w:lineRule="auto"/>
        <w:ind w:firstLine="720"/>
      </w:pPr>
      <w:r>
        <w:t>The doctrine of sin has been viewed in different ways from the history of Christianity. In the ancient church, the doctrine of the origins of sin was not well taught. The idea of sin was not much of a discussion as in the current church. Most people in the ancient church believed sin ton have originate from Adam and Eve. In the medieval church, people such as St. Augustine only believed and taught that all humans had a liability to sin through their ancestors who are Adam and Eve</w:t>
      </w:r>
      <w:r w:rsidR="00F24BA0">
        <w:rPr>
          <w:rStyle w:val="FootnoteReference"/>
        </w:rPr>
        <w:footnoteReference w:id="8"/>
      </w:r>
      <w:r>
        <w:t xml:space="preserve">. </w:t>
      </w:r>
      <w:r w:rsidR="00AB55DA">
        <w:t xml:space="preserve"> </w:t>
      </w:r>
      <w:r>
        <w:t>This ideology caught much attention and rejections as well, but was reaccepted after several consultations by numerous councils. In the reformation of the church, the same ideology followed through. For instance, revolutionist Martin Luther King claimed that human</w:t>
      </w:r>
      <w:r w:rsidR="0084476B">
        <w:t>s</w:t>
      </w:r>
      <w:r>
        <w:t xml:space="preserve"> inherit the </w:t>
      </w:r>
      <w:r>
        <w:lastRenderedPageBreak/>
        <w:t xml:space="preserve">guilt of Adam and are bound to sin from their birth. </w:t>
      </w:r>
      <w:r w:rsidR="0084476B">
        <w:t>The reformation of the church also introduced the Roman Catholic doctrine of Immaculate Conception regarding Mary</w:t>
      </w:r>
      <w:r w:rsidR="001A05D4">
        <w:rPr>
          <w:rStyle w:val="FootnoteReference"/>
        </w:rPr>
        <w:footnoteReference w:id="9"/>
      </w:r>
      <w:r w:rsidR="0084476B">
        <w:t xml:space="preserve">. The Roman Catholic believes that Mary the mother of Jesus is the only human without sin through God’s grace. However, the church traces the origin of sin from Adam and Eve. </w:t>
      </w:r>
      <w:r>
        <w:t xml:space="preserve"> </w:t>
      </w:r>
      <w:r w:rsidR="0084476B">
        <w:t>In the modern church, the view is the same. Through the acts of Adam and Eve, all humans fell and it’s only through repentance that men can be with God again. For instance, in the Roman Catholic Council of the Trent claims that sin is in human nature through propagation and not as imitation, meaning it is fit for everyone</w:t>
      </w:r>
      <w:r w:rsidR="00F24BA0">
        <w:rPr>
          <w:rStyle w:val="FootnoteReference"/>
        </w:rPr>
        <w:footnoteReference w:id="10"/>
      </w:r>
      <w:r w:rsidR="0084476B">
        <w:t xml:space="preserve">. This is the modern view that illustrates the origin of sin through the first humans. </w:t>
      </w:r>
    </w:p>
    <w:p w:rsidR="0084476B" w:rsidRPr="00081F08" w:rsidRDefault="0084476B" w:rsidP="00081F08">
      <w:pPr>
        <w:spacing w:line="480" w:lineRule="auto"/>
        <w:jc w:val="center"/>
        <w:rPr>
          <w:b/>
        </w:rPr>
      </w:pPr>
      <w:r w:rsidRPr="00081F08">
        <w:rPr>
          <w:b/>
        </w:rPr>
        <w:t>Theological Formulation</w:t>
      </w:r>
    </w:p>
    <w:p w:rsidR="00615D15" w:rsidRDefault="00984C79" w:rsidP="00081F08">
      <w:pPr>
        <w:spacing w:line="480" w:lineRule="auto"/>
        <w:ind w:firstLine="720"/>
      </w:pPr>
      <w:r>
        <w:t xml:space="preserve">The origin of sin is based on numerous theological formulations. The first one is philosophical presumptions. Philosophers as well as thinkers rely on their philosophical considerations to trace the origin of sin. For the first or ancient Christians, books or bibles were not available for reviewing the scriptures. However, through the teachings of God as well as their elders, they developed philosophical presumptions.  The same occurs even today where Christians teach on the first sin by Adam and Eve. Additionally, </w:t>
      </w:r>
      <w:r w:rsidRPr="00984C79">
        <w:t>biblical exegesis</w:t>
      </w:r>
      <w:r>
        <w:t xml:space="preserve"> the origin of sin also evaluated through </w:t>
      </w:r>
      <w:r w:rsidRPr="00984C79">
        <w:t>biblical exegesis</w:t>
      </w:r>
      <w:r w:rsidR="00F24BA0">
        <w:rPr>
          <w:rStyle w:val="FootnoteReference"/>
        </w:rPr>
        <w:footnoteReference w:id="11"/>
      </w:r>
      <w:r>
        <w:t xml:space="preserve">. This is a method of critically explaining or interpreting the scriptures of the bible. Through the study of the Old and New Testament, the </w:t>
      </w:r>
      <w:r>
        <w:lastRenderedPageBreak/>
        <w:t xml:space="preserve">origin of sin can be traced to Adam and eve making something bound for all humans. However, through critical evaluation, God is not the creator of sin or evil. </w:t>
      </w:r>
      <w:r w:rsidR="00C2021E">
        <w:t xml:space="preserve">Another theological formulation is through historical consideration. Through </w:t>
      </w:r>
      <w:r w:rsidR="00541ACD">
        <w:t>the history offered in the bible as well as other sources, sin is traced back to Adam and Eve as well as the falling of the angels</w:t>
      </w:r>
      <w:r w:rsidR="000E5C64">
        <w:rPr>
          <w:rStyle w:val="FootnoteReference"/>
        </w:rPr>
        <w:footnoteReference w:id="12"/>
      </w:r>
      <w:r w:rsidR="00541ACD">
        <w:t xml:space="preserve">. It is also practical that the origin of sin was with the first humans. </w:t>
      </w:r>
      <w:r w:rsidR="0072237F">
        <w:t xml:space="preserve">  </w:t>
      </w:r>
      <w:r w:rsidR="00322C70">
        <w:t xml:space="preserve"> </w:t>
      </w:r>
      <w:r w:rsidR="00FE4C9A">
        <w:t xml:space="preserve">  </w:t>
      </w:r>
      <w:r w:rsidR="00635B26">
        <w:t xml:space="preserve">  </w:t>
      </w:r>
    </w:p>
    <w:p w:rsidR="00615D15" w:rsidRPr="00081F08" w:rsidRDefault="00541ACD" w:rsidP="00081F08">
      <w:pPr>
        <w:spacing w:line="480" w:lineRule="auto"/>
        <w:jc w:val="center"/>
        <w:rPr>
          <w:b/>
        </w:rPr>
      </w:pPr>
      <w:r w:rsidRPr="00081F08">
        <w:rPr>
          <w:b/>
        </w:rPr>
        <w:t>Practical Application</w:t>
      </w:r>
    </w:p>
    <w:p w:rsidR="002962D2" w:rsidRDefault="00541ACD" w:rsidP="00081F08">
      <w:pPr>
        <w:spacing w:line="480" w:lineRule="auto"/>
        <w:ind w:firstLine="720"/>
      </w:pPr>
      <w:r>
        <w:t>The origin of sin is an important doctrine in life. When one understand the origin of sin, they have better reasons to change their ways and seek repentance from God. Personally, when I understand that the origin of sin is through the actions of Adam and Eve and I forever bound to humans, I believe I have a responsibility to seek repentance and salvation to be with God in heaven. Sin is not what God intended for us, but the human heart and nature is developed to give in to temptations. Moreover, the o</w:t>
      </w:r>
      <w:r w:rsidR="003C5CC2">
        <w:t>rigin of sin develops awareness that sin is not a creation of God, but something that is human nature and suitable for everyone. This to me makes the ideology simple as the actions of Adam and Eve caused the fall of man and th</w:t>
      </w:r>
      <w:r w:rsidR="009172C7">
        <w:t xml:space="preserve">at is why God gave his only son for the sins of men to be forgiven. </w:t>
      </w:r>
    </w:p>
    <w:p w:rsidR="00081F08" w:rsidRDefault="00081F08" w:rsidP="00081F08">
      <w:pPr>
        <w:spacing w:line="480" w:lineRule="auto"/>
        <w:ind w:firstLine="720"/>
      </w:pPr>
    </w:p>
    <w:p w:rsidR="00081F08" w:rsidRDefault="00081F08" w:rsidP="00081F08">
      <w:pPr>
        <w:spacing w:line="480" w:lineRule="auto"/>
        <w:ind w:firstLine="720"/>
      </w:pPr>
    </w:p>
    <w:p w:rsidR="00081F08" w:rsidRDefault="00081F08" w:rsidP="00081F08">
      <w:pPr>
        <w:spacing w:line="480" w:lineRule="auto"/>
        <w:ind w:firstLine="720"/>
      </w:pPr>
    </w:p>
    <w:p w:rsidR="00081F08" w:rsidRDefault="00081F08" w:rsidP="00081F08">
      <w:pPr>
        <w:spacing w:line="480" w:lineRule="auto"/>
        <w:ind w:firstLine="720"/>
      </w:pPr>
    </w:p>
    <w:p w:rsidR="00081F08" w:rsidRDefault="00081F08" w:rsidP="00081F08">
      <w:pPr>
        <w:spacing w:line="480" w:lineRule="auto"/>
        <w:ind w:firstLine="720"/>
      </w:pPr>
    </w:p>
    <w:p w:rsidR="00541ACD" w:rsidRDefault="002962D2" w:rsidP="00081F08">
      <w:pPr>
        <w:spacing w:line="480" w:lineRule="auto"/>
        <w:jc w:val="center"/>
      </w:pPr>
      <w:r>
        <w:lastRenderedPageBreak/>
        <w:t>Bibliography</w:t>
      </w:r>
    </w:p>
    <w:p w:rsidR="00F144B7" w:rsidRPr="00F144B7" w:rsidRDefault="00F144B7" w:rsidP="00081F08">
      <w:pPr>
        <w:spacing w:after="0" w:line="480" w:lineRule="auto"/>
        <w:ind w:left="720" w:hanging="720"/>
        <w:rPr>
          <w:rFonts w:eastAsia="Times New Roman"/>
          <w:szCs w:val="24"/>
        </w:rPr>
      </w:pPr>
      <w:r w:rsidRPr="00F144B7">
        <w:rPr>
          <w:rFonts w:eastAsia="Times New Roman"/>
          <w:szCs w:val="24"/>
        </w:rPr>
        <w:t xml:space="preserve">McFarland, Ian A. </w:t>
      </w:r>
      <w:proofErr w:type="gramStart"/>
      <w:r w:rsidRPr="00F144B7">
        <w:rPr>
          <w:rFonts w:eastAsia="Times New Roman"/>
          <w:i/>
          <w:iCs/>
          <w:szCs w:val="24"/>
        </w:rPr>
        <w:t>In Adam's Fall: A Meditation on the Christian Doctrine of Original Sin</w:t>
      </w:r>
      <w:r w:rsidRPr="00F144B7">
        <w:rPr>
          <w:rFonts w:eastAsia="Times New Roman"/>
          <w:szCs w:val="24"/>
        </w:rPr>
        <w:t>.</w:t>
      </w:r>
      <w:proofErr w:type="gramEnd"/>
      <w:r w:rsidRPr="00F144B7">
        <w:rPr>
          <w:rFonts w:eastAsia="Times New Roman"/>
          <w:szCs w:val="24"/>
        </w:rPr>
        <w:t xml:space="preserve"> </w:t>
      </w:r>
      <w:proofErr w:type="gramStart"/>
      <w:r w:rsidRPr="00F144B7">
        <w:rPr>
          <w:rFonts w:eastAsia="Times New Roman"/>
          <w:szCs w:val="24"/>
        </w:rPr>
        <w:t>Vol. 29.</w:t>
      </w:r>
      <w:proofErr w:type="gramEnd"/>
      <w:r w:rsidRPr="00F144B7">
        <w:rPr>
          <w:rFonts w:eastAsia="Times New Roman"/>
          <w:szCs w:val="24"/>
        </w:rPr>
        <w:t xml:space="preserve"> </w:t>
      </w:r>
      <w:proofErr w:type="gramStart"/>
      <w:r w:rsidRPr="00F144B7">
        <w:rPr>
          <w:rFonts w:eastAsia="Times New Roman"/>
          <w:szCs w:val="24"/>
        </w:rPr>
        <w:t>John Wiley &amp; Sons, 2011.</w:t>
      </w:r>
      <w:proofErr w:type="gramEnd"/>
    </w:p>
    <w:p w:rsidR="00F144B7" w:rsidRPr="00F144B7" w:rsidRDefault="00F144B7" w:rsidP="00081F08">
      <w:pPr>
        <w:spacing w:after="0" w:line="480" w:lineRule="auto"/>
        <w:ind w:left="720" w:hanging="720"/>
        <w:rPr>
          <w:rFonts w:eastAsia="Times New Roman"/>
          <w:szCs w:val="24"/>
        </w:rPr>
      </w:pPr>
      <w:r w:rsidRPr="00F144B7">
        <w:rPr>
          <w:rFonts w:eastAsia="Times New Roman"/>
          <w:szCs w:val="24"/>
        </w:rPr>
        <w:t xml:space="preserve">Connor, James L. "Original sin: Contemporary approaches." </w:t>
      </w:r>
      <w:r w:rsidRPr="00F144B7">
        <w:rPr>
          <w:rFonts w:eastAsia="Times New Roman"/>
          <w:i/>
          <w:iCs/>
          <w:szCs w:val="24"/>
        </w:rPr>
        <w:t>Theological Studies</w:t>
      </w:r>
      <w:r w:rsidRPr="00F144B7">
        <w:rPr>
          <w:rFonts w:eastAsia="Times New Roman"/>
          <w:szCs w:val="24"/>
        </w:rPr>
        <w:t xml:space="preserve"> 29, no. 2 (1968): 215-240.</w:t>
      </w:r>
    </w:p>
    <w:p w:rsidR="00F144B7" w:rsidRPr="00F144B7" w:rsidRDefault="00F144B7" w:rsidP="00081F08">
      <w:pPr>
        <w:spacing w:after="0" w:line="480" w:lineRule="auto"/>
        <w:ind w:left="720" w:hanging="720"/>
        <w:rPr>
          <w:rFonts w:eastAsia="Times New Roman"/>
          <w:szCs w:val="24"/>
        </w:rPr>
      </w:pPr>
      <w:r w:rsidRPr="00F144B7">
        <w:rPr>
          <w:rFonts w:eastAsia="Times New Roman"/>
          <w:szCs w:val="24"/>
        </w:rPr>
        <w:t>Fitzpatrick, Joseph. "Original Sin or Original Sinfulness</w:t>
      </w:r>
      <w:proofErr w:type="gramStart"/>
      <w:r w:rsidRPr="00F144B7">
        <w:rPr>
          <w:rFonts w:eastAsia="Times New Roman"/>
          <w:szCs w:val="24"/>
        </w:rPr>
        <w:t>?.</w:t>
      </w:r>
      <w:proofErr w:type="gramEnd"/>
      <w:r w:rsidRPr="00F144B7">
        <w:rPr>
          <w:rFonts w:eastAsia="Times New Roman"/>
          <w:szCs w:val="24"/>
        </w:rPr>
        <w:t xml:space="preserve">" </w:t>
      </w:r>
      <w:r w:rsidRPr="00F144B7">
        <w:rPr>
          <w:rFonts w:eastAsia="Times New Roman"/>
          <w:i/>
          <w:iCs/>
          <w:szCs w:val="24"/>
        </w:rPr>
        <w:t xml:space="preserve">New </w:t>
      </w:r>
      <w:proofErr w:type="spellStart"/>
      <w:r w:rsidRPr="00F144B7">
        <w:rPr>
          <w:rFonts w:eastAsia="Times New Roman"/>
          <w:i/>
          <w:iCs/>
          <w:szCs w:val="24"/>
        </w:rPr>
        <w:t>Blackfriars</w:t>
      </w:r>
      <w:proofErr w:type="spellEnd"/>
      <w:r w:rsidRPr="00F144B7">
        <w:rPr>
          <w:rFonts w:eastAsia="Times New Roman"/>
          <w:szCs w:val="24"/>
        </w:rPr>
        <w:t xml:space="preserve"> 91, no. 1031 (2010): 66-82.</w:t>
      </w:r>
    </w:p>
    <w:p w:rsidR="00F144B7" w:rsidRPr="00F144B7" w:rsidRDefault="00F144B7" w:rsidP="00081F08">
      <w:pPr>
        <w:spacing w:after="0" w:line="480" w:lineRule="auto"/>
        <w:ind w:left="720" w:hanging="720"/>
        <w:rPr>
          <w:rFonts w:eastAsia="Times New Roman"/>
          <w:szCs w:val="24"/>
        </w:rPr>
      </w:pPr>
      <w:r w:rsidRPr="00F144B7">
        <w:rPr>
          <w:rFonts w:eastAsia="Times New Roman"/>
          <w:szCs w:val="24"/>
        </w:rPr>
        <w:t xml:space="preserve">Bible, Holy. </w:t>
      </w:r>
      <w:proofErr w:type="gramStart"/>
      <w:r w:rsidRPr="00F144B7">
        <w:rPr>
          <w:rFonts w:eastAsia="Times New Roman"/>
          <w:szCs w:val="24"/>
        </w:rPr>
        <w:t>"King James Version."</w:t>
      </w:r>
      <w:proofErr w:type="gramEnd"/>
      <w:r w:rsidRPr="00F144B7">
        <w:rPr>
          <w:rFonts w:eastAsia="Times New Roman"/>
          <w:szCs w:val="24"/>
        </w:rPr>
        <w:t xml:space="preserve"> </w:t>
      </w:r>
      <w:r w:rsidRPr="00F144B7">
        <w:rPr>
          <w:rFonts w:eastAsia="Times New Roman"/>
          <w:i/>
          <w:iCs/>
          <w:szCs w:val="24"/>
        </w:rPr>
        <w:t>Texas: National Publishing Company</w:t>
      </w:r>
      <w:r w:rsidRPr="00F144B7">
        <w:rPr>
          <w:rFonts w:eastAsia="Times New Roman"/>
          <w:szCs w:val="24"/>
        </w:rPr>
        <w:t xml:space="preserve"> (2000).</w:t>
      </w:r>
    </w:p>
    <w:p w:rsidR="002962D2" w:rsidRDefault="002962D2" w:rsidP="00081F08">
      <w:pPr>
        <w:spacing w:line="480" w:lineRule="auto"/>
      </w:pPr>
    </w:p>
    <w:p w:rsidR="00615D15" w:rsidRDefault="00615D15" w:rsidP="00081F08">
      <w:pPr>
        <w:spacing w:line="480" w:lineRule="auto"/>
      </w:pPr>
    </w:p>
    <w:sectPr w:rsidR="00615D1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9BE" w:rsidRDefault="006109BE" w:rsidP="001A05D4">
      <w:pPr>
        <w:spacing w:after="0" w:line="240" w:lineRule="auto"/>
      </w:pPr>
      <w:r>
        <w:separator/>
      </w:r>
    </w:p>
  </w:endnote>
  <w:endnote w:type="continuationSeparator" w:id="0">
    <w:p w:rsidR="006109BE" w:rsidRDefault="006109BE" w:rsidP="001A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9BE" w:rsidRDefault="006109BE" w:rsidP="001A05D4">
      <w:pPr>
        <w:spacing w:after="0" w:line="240" w:lineRule="auto"/>
      </w:pPr>
      <w:r>
        <w:separator/>
      </w:r>
    </w:p>
  </w:footnote>
  <w:footnote w:type="continuationSeparator" w:id="0">
    <w:p w:rsidR="006109BE" w:rsidRDefault="006109BE" w:rsidP="001A05D4">
      <w:pPr>
        <w:spacing w:after="0" w:line="240" w:lineRule="auto"/>
      </w:pPr>
      <w:r>
        <w:continuationSeparator/>
      </w:r>
    </w:p>
  </w:footnote>
  <w:footnote w:id="1">
    <w:p w:rsidR="000E5C64" w:rsidRPr="00F144B7" w:rsidRDefault="000E5C64" w:rsidP="000E5C64">
      <w:pPr>
        <w:spacing w:after="0" w:line="240" w:lineRule="auto"/>
        <w:rPr>
          <w:rFonts w:eastAsia="Times New Roman"/>
          <w:szCs w:val="24"/>
        </w:rPr>
      </w:pPr>
      <w:r>
        <w:rPr>
          <w:rStyle w:val="FootnoteReference"/>
        </w:rPr>
        <w:footnoteRef/>
      </w:r>
      <w:r>
        <w:t xml:space="preserve"> </w:t>
      </w:r>
      <w:r w:rsidRPr="00F144B7">
        <w:rPr>
          <w:rFonts w:eastAsia="Times New Roman"/>
          <w:szCs w:val="24"/>
        </w:rPr>
        <w:t xml:space="preserve">Bible, Holy. </w:t>
      </w:r>
      <w:proofErr w:type="gramStart"/>
      <w:r w:rsidRPr="00F144B7">
        <w:rPr>
          <w:rFonts w:eastAsia="Times New Roman"/>
          <w:szCs w:val="24"/>
        </w:rPr>
        <w:t>"King James Version."</w:t>
      </w:r>
      <w:proofErr w:type="gramEnd"/>
      <w:r w:rsidRPr="00F144B7">
        <w:rPr>
          <w:rFonts w:eastAsia="Times New Roman"/>
          <w:szCs w:val="24"/>
        </w:rPr>
        <w:t xml:space="preserve"> </w:t>
      </w:r>
      <w:r>
        <w:rPr>
          <w:rFonts w:eastAsia="Times New Roman"/>
          <w:szCs w:val="24"/>
        </w:rPr>
        <w:t>(</w:t>
      </w:r>
      <w:r w:rsidRPr="00F144B7">
        <w:rPr>
          <w:rFonts w:eastAsia="Times New Roman"/>
          <w:i/>
          <w:iCs/>
          <w:szCs w:val="24"/>
        </w:rPr>
        <w:t>Texas: National Publishing Company</w:t>
      </w:r>
      <w:r w:rsidRPr="00F144B7">
        <w:rPr>
          <w:rFonts w:eastAsia="Times New Roman"/>
          <w:szCs w:val="24"/>
        </w:rPr>
        <w:t xml:space="preserve"> (2000).</w:t>
      </w:r>
    </w:p>
    <w:p w:rsidR="000E5C64" w:rsidRDefault="000E5C64">
      <w:pPr>
        <w:pStyle w:val="FootnoteText"/>
      </w:pPr>
    </w:p>
  </w:footnote>
  <w:footnote w:id="2">
    <w:p w:rsidR="001A05D4" w:rsidRPr="00F144B7" w:rsidRDefault="001A05D4" w:rsidP="001A05D4">
      <w:pPr>
        <w:spacing w:after="0" w:line="240" w:lineRule="auto"/>
        <w:rPr>
          <w:rFonts w:eastAsia="Times New Roman"/>
          <w:szCs w:val="24"/>
        </w:rPr>
      </w:pPr>
      <w:r>
        <w:rPr>
          <w:rStyle w:val="FootnoteReference"/>
        </w:rPr>
        <w:footnoteRef/>
      </w:r>
      <w:r>
        <w:t xml:space="preserve"> </w:t>
      </w:r>
      <w:r>
        <w:rPr>
          <w:rFonts w:eastAsia="Times New Roman"/>
          <w:szCs w:val="24"/>
        </w:rPr>
        <w:t>Ian</w:t>
      </w:r>
      <w:r w:rsidRPr="00F144B7">
        <w:rPr>
          <w:rFonts w:eastAsia="Times New Roman"/>
          <w:szCs w:val="24"/>
        </w:rPr>
        <w:t xml:space="preserve"> </w:t>
      </w:r>
      <w:r>
        <w:rPr>
          <w:rFonts w:eastAsia="Times New Roman"/>
          <w:szCs w:val="24"/>
        </w:rPr>
        <w:t>McFarland</w:t>
      </w:r>
      <w:r w:rsidRPr="00F144B7">
        <w:rPr>
          <w:rFonts w:eastAsia="Times New Roman"/>
          <w:szCs w:val="24"/>
        </w:rPr>
        <w:t xml:space="preserve">. </w:t>
      </w:r>
      <w:proofErr w:type="gramStart"/>
      <w:r w:rsidRPr="00F144B7">
        <w:rPr>
          <w:rFonts w:eastAsia="Times New Roman"/>
          <w:i/>
          <w:iCs/>
          <w:szCs w:val="24"/>
        </w:rPr>
        <w:t>In Adam's Fall: A Meditation on the Christian Doctrine of Original Sin</w:t>
      </w:r>
      <w:r w:rsidRPr="00F144B7">
        <w:rPr>
          <w:rFonts w:eastAsia="Times New Roman"/>
          <w:szCs w:val="24"/>
        </w:rPr>
        <w:t>.</w:t>
      </w:r>
      <w:proofErr w:type="gramEnd"/>
      <w:r w:rsidRPr="00F144B7">
        <w:rPr>
          <w:rFonts w:eastAsia="Times New Roman"/>
          <w:szCs w:val="24"/>
        </w:rPr>
        <w:t xml:space="preserve"> </w:t>
      </w:r>
      <w:proofErr w:type="gramStart"/>
      <w:r w:rsidRPr="00F144B7">
        <w:rPr>
          <w:rFonts w:eastAsia="Times New Roman"/>
          <w:szCs w:val="24"/>
        </w:rPr>
        <w:t>Vol. 29.</w:t>
      </w:r>
      <w:proofErr w:type="gramEnd"/>
      <w:r w:rsidRPr="00F144B7">
        <w:rPr>
          <w:rFonts w:eastAsia="Times New Roman"/>
          <w:szCs w:val="24"/>
        </w:rPr>
        <w:t xml:space="preserve"> </w:t>
      </w:r>
      <w:proofErr w:type="gramStart"/>
      <w:r>
        <w:rPr>
          <w:rFonts w:eastAsia="Times New Roman"/>
          <w:szCs w:val="24"/>
        </w:rPr>
        <w:t>(</w:t>
      </w:r>
      <w:r w:rsidRPr="00F144B7">
        <w:rPr>
          <w:rFonts w:eastAsia="Times New Roman"/>
          <w:szCs w:val="24"/>
        </w:rPr>
        <w:t>John Wiley &amp; Sons, 2011</w:t>
      </w:r>
      <w:r>
        <w:rPr>
          <w:rFonts w:eastAsia="Times New Roman"/>
          <w:szCs w:val="24"/>
        </w:rPr>
        <w:t>)</w:t>
      </w:r>
      <w:r w:rsidRPr="00F144B7">
        <w:rPr>
          <w:rFonts w:eastAsia="Times New Roman"/>
          <w:szCs w:val="24"/>
        </w:rPr>
        <w:t>.</w:t>
      </w:r>
      <w:proofErr w:type="gramEnd"/>
    </w:p>
    <w:p w:rsidR="001A05D4" w:rsidRDefault="001A05D4">
      <w:pPr>
        <w:pStyle w:val="FootnoteText"/>
      </w:pPr>
    </w:p>
  </w:footnote>
  <w:footnote w:id="3">
    <w:p w:rsidR="00E15227" w:rsidRDefault="00E15227">
      <w:pPr>
        <w:pStyle w:val="FootnoteText"/>
      </w:pPr>
      <w:r>
        <w:rPr>
          <w:rStyle w:val="FootnoteReference"/>
        </w:rPr>
        <w:footnoteRef/>
      </w:r>
      <w:r>
        <w:t xml:space="preserve"> </w:t>
      </w:r>
      <w:r w:rsidRPr="00F144B7">
        <w:rPr>
          <w:rFonts w:eastAsia="Times New Roman"/>
          <w:szCs w:val="24"/>
        </w:rPr>
        <w:t xml:space="preserve">Bible, Holy. </w:t>
      </w:r>
      <w:proofErr w:type="gramStart"/>
      <w:r w:rsidRPr="00F144B7">
        <w:rPr>
          <w:rFonts w:eastAsia="Times New Roman"/>
          <w:szCs w:val="24"/>
        </w:rPr>
        <w:t>"King James Version."</w:t>
      </w:r>
      <w:proofErr w:type="gramEnd"/>
      <w:r w:rsidRPr="00F144B7">
        <w:rPr>
          <w:rFonts w:eastAsia="Times New Roman"/>
          <w:szCs w:val="24"/>
        </w:rPr>
        <w:t xml:space="preserve"> </w:t>
      </w:r>
      <w:r>
        <w:rPr>
          <w:rFonts w:eastAsia="Times New Roman"/>
          <w:szCs w:val="24"/>
        </w:rPr>
        <w:t>(</w:t>
      </w:r>
      <w:r w:rsidRPr="00F144B7">
        <w:rPr>
          <w:rFonts w:eastAsia="Times New Roman"/>
          <w:i/>
          <w:iCs/>
          <w:szCs w:val="24"/>
        </w:rPr>
        <w:t>Texas: National Publishing Company</w:t>
      </w:r>
      <w:r w:rsidRPr="00F144B7">
        <w:rPr>
          <w:rFonts w:eastAsia="Times New Roman"/>
          <w:szCs w:val="24"/>
        </w:rPr>
        <w:t xml:space="preserve"> (2000).</w:t>
      </w:r>
    </w:p>
  </w:footnote>
  <w:footnote w:id="4">
    <w:p w:rsidR="00E15227" w:rsidRDefault="00E15227">
      <w:pPr>
        <w:pStyle w:val="FootnoteText"/>
      </w:pPr>
      <w:r>
        <w:rPr>
          <w:rStyle w:val="FootnoteReference"/>
        </w:rPr>
        <w:footnoteRef/>
      </w:r>
      <w:r>
        <w:t xml:space="preserve"> </w:t>
      </w:r>
      <w:r w:rsidRPr="00F144B7">
        <w:rPr>
          <w:rFonts w:eastAsia="Times New Roman"/>
          <w:szCs w:val="24"/>
        </w:rPr>
        <w:t xml:space="preserve">Bible, Holy. </w:t>
      </w:r>
      <w:proofErr w:type="gramStart"/>
      <w:r w:rsidRPr="00F144B7">
        <w:rPr>
          <w:rFonts w:eastAsia="Times New Roman"/>
          <w:szCs w:val="24"/>
        </w:rPr>
        <w:t>"King James Version."</w:t>
      </w:r>
      <w:proofErr w:type="gramEnd"/>
      <w:r w:rsidRPr="00F144B7">
        <w:rPr>
          <w:rFonts w:eastAsia="Times New Roman"/>
          <w:szCs w:val="24"/>
        </w:rPr>
        <w:t xml:space="preserve"> </w:t>
      </w:r>
      <w:r>
        <w:rPr>
          <w:rFonts w:eastAsia="Times New Roman"/>
          <w:szCs w:val="24"/>
        </w:rPr>
        <w:t>(</w:t>
      </w:r>
      <w:r w:rsidRPr="00F144B7">
        <w:rPr>
          <w:rFonts w:eastAsia="Times New Roman"/>
          <w:i/>
          <w:iCs/>
          <w:szCs w:val="24"/>
        </w:rPr>
        <w:t>Texas: National Publishing Company</w:t>
      </w:r>
      <w:r w:rsidRPr="00F144B7">
        <w:rPr>
          <w:rFonts w:eastAsia="Times New Roman"/>
          <w:szCs w:val="24"/>
        </w:rPr>
        <w:t xml:space="preserve"> (2000).</w:t>
      </w:r>
    </w:p>
  </w:footnote>
  <w:footnote w:id="5">
    <w:p w:rsidR="00E15227" w:rsidRDefault="00E15227">
      <w:pPr>
        <w:pStyle w:val="FootnoteText"/>
      </w:pPr>
      <w:r>
        <w:rPr>
          <w:rStyle w:val="FootnoteReference"/>
        </w:rPr>
        <w:footnoteRef/>
      </w:r>
      <w:r>
        <w:t xml:space="preserve"> </w:t>
      </w:r>
      <w:r w:rsidRPr="00F144B7">
        <w:rPr>
          <w:rFonts w:eastAsia="Times New Roman"/>
          <w:szCs w:val="24"/>
        </w:rPr>
        <w:t xml:space="preserve">Bible, Holy. </w:t>
      </w:r>
      <w:proofErr w:type="gramStart"/>
      <w:r w:rsidRPr="00F144B7">
        <w:rPr>
          <w:rFonts w:eastAsia="Times New Roman"/>
          <w:szCs w:val="24"/>
        </w:rPr>
        <w:t>"King James Version."</w:t>
      </w:r>
      <w:proofErr w:type="gramEnd"/>
      <w:r w:rsidRPr="00F144B7">
        <w:rPr>
          <w:rFonts w:eastAsia="Times New Roman"/>
          <w:szCs w:val="24"/>
        </w:rPr>
        <w:t xml:space="preserve"> </w:t>
      </w:r>
      <w:r>
        <w:rPr>
          <w:rFonts w:eastAsia="Times New Roman"/>
          <w:szCs w:val="24"/>
        </w:rPr>
        <w:t>(</w:t>
      </w:r>
      <w:r w:rsidRPr="00F144B7">
        <w:rPr>
          <w:rFonts w:eastAsia="Times New Roman"/>
          <w:i/>
          <w:iCs/>
          <w:szCs w:val="24"/>
        </w:rPr>
        <w:t>Texas: National Publishing Company</w:t>
      </w:r>
      <w:r w:rsidRPr="00F144B7">
        <w:rPr>
          <w:rFonts w:eastAsia="Times New Roman"/>
          <w:szCs w:val="24"/>
        </w:rPr>
        <w:t xml:space="preserve"> (2000).</w:t>
      </w:r>
    </w:p>
  </w:footnote>
  <w:footnote w:id="6">
    <w:p w:rsidR="00E15227" w:rsidRDefault="00E15227">
      <w:pPr>
        <w:pStyle w:val="FootnoteText"/>
      </w:pPr>
      <w:r>
        <w:rPr>
          <w:rStyle w:val="FootnoteReference"/>
        </w:rPr>
        <w:footnoteRef/>
      </w:r>
      <w:r>
        <w:t xml:space="preserve"> </w:t>
      </w:r>
      <w:r w:rsidRPr="00F144B7">
        <w:rPr>
          <w:rFonts w:eastAsia="Times New Roman"/>
          <w:szCs w:val="24"/>
        </w:rPr>
        <w:t xml:space="preserve">Bible, Holy. </w:t>
      </w:r>
      <w:proofErr w:type="gramStart"/>
      <w:r w:rsidRPr="00F144B7">
        <w:rPr>
          <w:rFonts w:eastAsia="Times New Roman"/>
          <w:szCs w:val="24"/>
        </w:rPr>
        <w:t>"King James Version."</w:t>
      </w:r>
      <w:proofErr w:type="gramEnd"/>
      <w:r w:rsidRPr="00F144B7">
        <w:rPr>
          <w:rFonts w:eastAsia="Times New Roman"/>
          <w:szCs w:val="24"/>
        </w:rPr>
        <w:t xml:space="preserve"> </w:t>
      </w:r>
      <w:r>
        <w:rPr>
          <w:rFonts w:eastAsia="Times New Roman"/>
          <w:szCs w:val="24"/>
        </w:rPr>
        <w:t>(</w:t>
      </w:r>
      <w:r w:rsidRPr="00F144B7">
        <w:rPr>
          <w:rFonts w:eastAsia="Times New Roman"/>
          <w:i/>
          <w:iCs/>
          <w:szCs w:val="24"/>
        </w:rPr>
        <w:t>Texas: National Publishing Company</w:t>
      </w:r>
      <w:r w:rsidRPr="00F144B7">
        <w:rPr>
          <w:rFonts w:eastAsia="Times New Roman"/>
          <w:szCs w:val="24"/>
        </w:rPr>
        <w:t xml:space="preserve"> (2000).</w:t>
      </w:r>
    </w:p>
  </w:footnote>
  <w:footnote w:id="7">
    <w:p w:rsidR="00E15227" w:rsidRDefault="00E15227">
      <w:pPr>
        <w:pStyle w:val="FootnoteText"/>
      </w:pPr>
      <w:r>
        <w:rPr>
          <w:rStyle w:val="FootnoteReference"/>
        </w:rPr>
        <w:footnoteRef/>
      </w:r>
      <w:r>
        <w:t xml:space="preserve"> </w:t>
      </w:r>
      <w:r w:rsidRPr="00F144B7">
        <w:rPr>
          <w:rFonts w:eastAsia="Times New Roman"/>
          <w:szCs w:val="24"/>
        </w:rPr>
        <w:t xml:space="preserve">Bible, Holy. </w:t>
      </w:r>
      <w:proofErr w:type="gramStart"/>
      <w:r w:rsidRPr="00F144B7">
        <w:rPr>
          <w:rFonts w:eastAsia="Times New Roman"/>
          <w:szCs w:val="24"/>
        </w:rPr>
        <w:t>"King James Version."</w:t>
      </w:r>
      <w:proofErr w:type="gramEnd"/>
      <w:r w:rsidRPr="00F144B7">
        <w:rPr>
          <w:rFonts w:eastAsia="Times New Roman"/>
          <w:szCs w:val="24"/>
        </w:rPr>
        <w:t xml:space="preserve"> </w:t>
      </w:r>
      <w:r>
        <w:rPr>
          <w:rFonts w:eastAsia="Times New Roman"/>
          <w:szCs w:val="24"/>
        </w:rPr>
        <w:t>(</w:t>
      </w:r>
      <w:r w:rsidRPr="00F144B7">
        <w:rPr>
          <w:rFonts w:eastAsia="Times New Roman"/>
          <w:i/>
          <w:iCs/>
          <w:szCs w:val="24"/>
        </w:rPr>
        <w:t>Texas: National Publishing Company</w:t>
      </w:r>
      <w:r w:rsidRPr="00F144B7">
        <w:rPr>
          <w:rFonts w:eastAsia="Times New Roman"/>
          <w:szCs w:val="24"/>
        </w:rPr>
        <w:t xml:space="preserve"> (2000).</w:t>
      </w:r>
    </w:p>
  </w:footnote>
  <w:footnote w:id="8">
    <w:p w:rsidR="00F24BA0" w:rsidRPr="00F144B7" w:rsidRDefault="00F24BA0" w:rsidP="00F24BA0">
      <w:pPr>
        <w:spacing w:after="0" w:line="240" w:lineRule="auto"/>
        <w:rPr>
          <w:rFonts w:eastAsia="Times New Roman"/>
          <w:szCs w:val="24"/>
        </w:rPr>
      </w:pPr>
      <w:r>
        <w:rPr>
          <w:rStyle w:val="FootnoteReference"/>
        </w:rPr>
        <w:footnoteRef/>
      </w:r>
      <w:r>
        <w:t xml:space="preserve"> </w:t>
      </w:r>
      <w:r w:rsidRPr="00F144B7">
        <w:rPr>
          <w:rFonts w:eastAsia="Times New Roman"/>
          <w:szCs w:val="24"/>
        </w:rPr>
        <w:t>Joseph</w:t>
      </w:r>
      <w:r>
        <w:rPr>
          <w:rFonts w:eastAsia="Times New Roman"/>
          <w:szCs w:val="24"/>
        </w:rPr>
        <w:t>,</w:t>
      </w:r>
      <w:r w:rsidRPr="00F144B7">
        <w:rPr>
          <w:rFonts w:eastAsia="Times New Roman"/>
          <w:szCs w:val="24"/>
        </w:rPr>
        <w:t xml:space="preserve"> </w:t>
      </w:r>
      <w:r w:rsidRPr="00F144B7">
        <w:rPr>
          <w:rFonts w:eastAsia="Times New Roman"/>
          <w:szCs w:val="24"/>
        </w:rPr>
        <w:t>Fitzpatrick. "Original Sin or Original Sinfulness</w:t>
      </w:r>
      <w:proofErr w:type="gramStart"/>
      <w:r w:rsidRPr="00F144B7">
        <w:rPr>
          <w:rFonts w:eastAsia="Times New Roman"/>
          <w:szCs w:val="24"/>
        </w:rPr>
        <w:t>?.</w:t>
      </w:r>
      <w:proofErr w:type="gramEnd"/>
      <w:r w:rsidRPr="00F144B7">
        <w:rPr>
          <w:rFonts w:eastAsia="Times New Roman"/>
          <w:szCs w:val="24"/>
        </w:rPr>
        <w:t xml:space="preserve">" </w:t>
      </w:r>
      <w:r>
        <w:rPr>
          <w:rFonts w:eastAsia="Times New Roman"/>
          <w:szCs w:val="24"/>
        </w:rPr>
        <w:t>(</w:t>
      </w:r>
      <w:r w:rsidRPr="00F144B7">
        <w:rPr>
          <w:rFonts w:eastAsia="Times New Roman"/>
          <w:i/>
          <w:iCs/>
          <w:szCs w:val="24"/>
        </w:rPr>
        <w:t xml:space="preserve">New </w:t>
      </w:r>
      <w:proofErr w:type="spellStart"/>
      <w:r w:rsidRPr="00F144B7">
        <w:rPr>
          <w:rFonts w:eastAsia="Times New Roman"/>
          <w:i/>
          <w:iCs/>
          <w:szCs w:val="24"/>
        </w:rPr>
        <w:t>Blackfriars</w:t>
      </w:r>
      <w:proofErr w:type="spellEnd"/>
      <w:r w:rsidRPr="00F144B7">
        <w:rPr>
          <w:rFonts w:eastAsia="Times New Roman"/>
          <w:szCs w:val="24"/>
        </w:rPr>
        <w:t xml:space="preserve"> 91, no. 1031 (2010): 66-82</w:t>
      </w:r>
      <w:r>
        <w:rPr>
          <w:rFonts w:eastAsia="Times New Roman"/>
          <w:szCs w:val="24"/>
        </w:rPr>
        <w:t>)</w:t>
      </w:r>
      <w:r w:rsidRPr="00F144B7">
        <w:rPr>
          <w:rFonts w:eastAsia="Times New Roman"/>
          <w:szCs w:val="24"/>
        </w:rPr>
        <w:t>.</w:t>
      </w:r>
    </w:p>
    <w:p w:rsidR="00F24BA0" w:rsidRDefault="00F24BA0">
      <w:pPr>
        <w:pStyle w:val="FootnoteText"/>
      </w:pPr>
    </w:p>
  </w:footnote>
  <w:footnote w:id="9">
    <w:p w:rsidR="001A05D4" w:rsidRPr="00F144B7" w:rsidRDefault="001A05D4" w:rsidP="001A05D4">
      <w:pPr>
        <w:spacing w:after="0" w:line="240" w:lineRule="auto"/>
        <w:rPr>
          <w:rFonts w:eastAsia="Times New Roman"/>
          <w:szCs w:val="24"/>
        </w:rPr>
      </w:pPr>
      <w:r>
        <w:rPr>
          <w:rStyle w:val="FootnoteReference"/>
        </w:rPr>
        <w:footnoteRef/>
      </w:r>
      <w:r>
        <w:t xml:space="preserve"> </w:t>
      </w:r>
      <w:r w:rsidRPr="00F144B7">
        <w:rPr>
          <w:rFonts w:eastAsia="Times New Roman"/>
          <w:szCs w:val="24"/>
        </w:rPr>
        <w:t xml:space="preserve">James L. Connor, "Original sin: Contemporary approaches." </w:t>
      </w:r>
      <w:proofErr w:type="gramStart"/>
      <w:r>
        <w:rPr>
          <w:rFonts w:eastAsia="Times New Roman"/>
          <w:szCs w:val="24"/>
        </w:rPr>
        <w:t>(</w:t>
      </w:r>
      <w:r w:rsidRPr="00F144B7">
        <w:rPr>
          <w:rFonts w:eastAsia="Times New Roman"/>
          <w:i/>
          <w:iCs/>
          <w:szCs w:val="24"/>
        </w:rPr>
        <w:t>Theological Studies</w:t>
      </w:r>
      <w:r w:rsidRPr="00F144B7">
        <w:rPr>
          <w:rFonts w:eastAsia="Times New Roman"/>
          <w:szCs w:val="24"/>
        </w:rPr>
        <w:t xml:space="preserve"> 29, no. 2 (1968): 215-240</w:t>
      </w:r>
      <w:r>
        <w:rPr>
          <w:rFonts w:eastAsia="Times New Roman"/>
          <w:szCs w:val="24"/>
        </w:rPr>
        <w:t>)</w:t>
      </w:r>
      <w:r w:rsidRPr="00F144B7">
        <w:rPr>
          <w:rFonts w:eastAsia="Times New Roman"/>
          <w:szCs w:val="24"/>
        </w:rPr>
        <w:t>.</w:t>
      </w:r>
      <w:proofErr w:type="gramEnd"/>
    </w:p>
    <w:p w:rsidR="001A05D4" w:rsidRDefault="001A05D4">
      <w:pPr>
        <w:pStyle w:val="FootnoteText"/>
      </w:pPr>
    </w:p>
  </w:footnote>
  <w:footnote w:id="10">
    <w:p w:rsidR="00F24BA0" w:rsidRPr="00F144B7" w:rsidRDefault="00F24BA0" w:rsidP="00F24BA0">
      <w:pPr>
        <w:spacing w:after="0" w:line="240" w:lineRule="auto"/>
        <w:rPr>
          <w:rFonts w:eastAsia="Times New Roman"/>
          <w:szCs w:val="24"/>
        </w:rPr>
      </w:pPr>
      <w:r>
        <w:rPr>
          <w:rStyle w:val="FootnoteReference"/>
        </w:rPr>
        <w:footnoteRef/>
      </w:r>
      <w:r>
        <w:t xml:space="preserve"> </w:t>
      </w:r>
      <w:r w:rsidRPr="00F144B7">
        <w:rPr>
          <w:rFonts w:eastAsia="Times New Roman"/>
          <w:szCs w:val="24"/>
        </w:rPr>
        <w:t xml:space="preserve">James L. Connor, "Original sin: Contemporary approaches." </w:t>
      </w:r>
      <w:proofErr w:type="gramStart"/>
      <w:r>
        <w:rPr>
          <w:rFonts w:eastAsia="Times New Roman"/>
          <w:szCs w:val="24"/>
        </w:rPr>
        <w:t>(</w:t>
      </w:r>
      <w:r w:rsidRPr="00F144B7">
        <w:rPr>
          <w:rFonts w:eastAsia="Times New Roman"/>
          <w:i/>
          <w:iCs/>
          <w:szCs w:val="24"/>
        </w:rPr>
        <w:t>Theological Studies</w:t>
      </w:r>
      <w:r w:rsidRPr="00F144B7">
        <w:rPr>
          <w:rFonts w:eastAsia="Times New Roman"/>
          <w:szCs w:val="24"/>
        </w:rPr>
        <w:t xml:space="preserve"> 29, no. 2 (1968): 215-240</w:t>
      </w:r>
      <w:r>
        <w:rPr>
          <w:rFonts w:eastAsia="Times New Roman"/>
          <w:szCs w:val="24"/>
        </w:rPr>
        <w:t>)</w:t>
      </w:r>
      <w:r w:rsidRPr="00F144B7">
        <w:rPr>
          <w:rFonts w:eastAsia="Times New Roman"/>
          <w:szCs w:val="24"/>
        </w:rPr>
        <w:t>.</w:t>
      </w:r>
      <w:proofErr w:type="gramEnd"/>
    </w:p>
    <w:p w:rsidR="00F24BA0" w:rsidRDefault="00F24BA0">
      <w:pPr>
        <w:pStyle w:val="FootnoteText"/>
      </w:pPr>
    </w:p>
  </w:footnote>
  <w:footnote w:id="11">
    <w:p w:rsidR="00F24BA0" w:rsidRPr="00F144B7" w:rsidRDefault="00F24BA0" w:rsidP="00F24BA0">
      <w:pPr>
        <w:spacing w:after="0" w:line="240" w:lineRule="auto"/>
        <w:rPr>
          <w:rFonts w:eastAsia="Times New Roman"/>
          <w:szCs w:val="24"/>
        </w:rPr>
      </w:pPr>
      <w:r>
        <w:rPr>
          <w:rStyle w:val="FootnoteReference"/>
        </w:rPr>
        <w:footnoteRef/>
      </w:r>
      <w:r>
        <w:t xml:space="preserve"> </w:t>
      </w:r>
      <w:r w:rsidRPr="00F144B7">
        <w:rPr>
          <w:rFonts w:eastAsia="Times New Roman"/>
          <w:szCs w:val="24"/>
        </w:rPr>
        <w:t xml:space="preserve">James L. Connor, "Original sin: Contemporary approaches." </w:t>
      </w:r>
      <w:proofErr w:type="gramStart"/>
      <w:r>
        <w:rPr>
          <w:rFonts w:eastAsia="Times New Roman"/>
          <w:szCs w:val="24"/>
        </w:rPr>
        <w:t>(</w:t>
      </w:r>
      <w:r w:rsidRPr="00F144B7">
        <w:rPr>
          <w:rFonts w:eastAsia="Times New Roman"/>
          <w:i/>
          <w:iCs/>
          <w:szCs w:val="24"/>
        </w:rPr>
        <w:t>Theological Studies</w:t>
      </w:r>
      <w:r w:rsidRPr="00F144B7">
        <w:rPr>
          <w:rFonts w:eastAsia="Times New Roman"/>
          <w:szCs w:val="24"/>
        </w:rPr>
        <w:t xml:space="preserve"> 29, no. 2 (1968): 215-240</w:t>
      </w:r>
      <w:r>
        <w:rPr>
          <w:rFonts w:eastAsia="Times New Roman"/>
          <w:szCs w:val="24"/>
        </w:rPr>
        <w:t>)</w:t>
      </w:r>
      <w:r w:rsidRPr="00F144B7">
        <w:rPr>
          <w:rFonts w:eastAsia="Times New Roman"/>
          <w:szCs w:val="24"/>
        </w:rPr>
        <w:t>.</w:t>
      </w:r>
      <w:proofErr w:type="gramEnd"/>
    </w:p>
    <w:p w:rsidR="00F24BA0" w:rsidRDefault="00F24BA0">
      <w:pPr>
        <w:pStyle w:val="FootnoteText"/>
      </w:pPr>
    </w:p>
  </w:footnote>
  <w:footnote w:id="12">
    <w:p w:rsidR="000E5C64" w:rsidRDefault="000E5C64">
      <w:pPr>
        <w:pStyle w:val="FootnoteText"/>
      </w:pPr>
      <w:r>
        <w:rPr>
          <w:rStyle w:val="FootnoteReference"/>
        </w:rPr>
        <w:footnoteRef/>
      </w:r>
      <w:r>
        <w:t xml:space="preserve"> </w:t>
      </w:r>
      <w:r w:rsidRPr="00F144B7">
        <w:rPr>
          <w:rFonts w:eastAsia="Times New Roman"/>
          <w:szCs w:val="24"/>
        </w:rPr>
        <w:t>Joseph</w:t>
      </w:r>
      <w:r>
        <w:rPr>
          <w:rFonts w:eastAsia="Times New Roman"/>
          <w:szCs w:val="24"/>
        </w:rPr>
        <w:t>,</w:t>
      </w:r>
      <w:r w:rsidRPr="00F144B7">
        <w:rPr>
          <w:rFonts w:eastAsia="Times New Roman"/>
          <w:szCs w:val="24"/>
        </w:rPr>
        <w:t xml:space="preserve"> Fitzpatrick. "Original Sin or Original Sinfulness</w:t>
      </w:r>
      <w:proofErr w:type="gramStart"/>
      <w:r w:rsidRPr="00F144B7">
        <w:rPr>
          <w:rFonts w:eastAsia="Times New Roman"/>
          <w:szCs w:val="24"/>
        </w:rPr>
        <w:t>?.</w:t>
      </w:r>
      <w:proofErr w:type="gramEnd"/>
      <w:r w:rsidRPr="00F144B7">
        <w:rPr>
          <w:rFonts w:eastAsia="Times New Roman"/>
          <w:szCs w:val="24"/>
        </w:rPr>
        <w:t xml:space="preserve">" </w:t>
      </w:r>
      <w:r>
        <w:rPr>
          <w:rFonts w:eastAsia="Times New Roman"/>
          <w:szCs w:val="24"/>
        </w:rPr>
        <w:t>(</w:t>
      </w:r>
      <w:r w:rsidRPr="00F144B7">
        <w:rPr>
          <w:rFonts w:eastAsia="Times New Roman"/>
          <w:i/>
          <w:iCs/>
          <w:szCs w:val="24"/>
        </w:rPr>
        <w:t xml:space="preserve">New </w:t>
      </w:r>
      <w:proofErr w:type="spellStart"/>
      <w:r w:rsidRPr="00F144B7">
        <w:rPr>
          <w:rFonts w:eastAsia="Times New Roman"/>
          <w:i/>
          <w:iCs/>
          <w:szCs w:val="24"/>
        </w:rPr>
        <w:t>Blackfriars</w:t>
      </w:r>
      <w:proofErr w:type="spellEnd"/>
      <w:r w:rsidRPr="00F144B7">
        <w:rPr>
          <w:rFonts w:eastAsia="Times New Roman"/>
          <w:szCs w:val="24"/>
        </w:rPr>
        <w:t xml:space="preserve"> 91, no. 1031 (2010): 66-82</w:t>
      </w:r>
      <w:r>
        <w:rPr>
          <w:rFonts w:eastAsia="Times New Roman"/>
          <w:szCs w:val="24"/>
        </w:rPr>
        <w:t>)</w:t>
      </w:r>
      <w:r w:rsidRPr="00F144B7">
        <w:rPr>
          <w:rFonts w:eastAsia="Times New Roman"/>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846964"/>
      <w:docPartObj>
        <w:docPartGallery w:val="Page Numbers (Top of Page)"/>
        <w:docPartUnique/>
      </w:docPartObj>
    </w:sdtPr>
    <w:sdtEndPr>
      <w:rPr>
        <w:noProof/>
      </w:rPr>
    </w:sdtEndPr>
    <w:sdtContent>
      <w:p w:rsidR="00081F08" w:rsidRDefault="00081F0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81F08" w:rsidRDefault="00081F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0D"/>
    <w:rsid w:val="00081F08"/>
    <w:rsid w:val="000E5C64"/>
    <w:rsid w:val="001A05D4"/>
    <w:rsid w:val="00262A2F"/>
    <w:rsid w:val="002962D2"/>
    <w:rsid w:val="00322C70"/>
    <w:rsid w:val="003C5CC2"/>
    <w:rsid w:val="00541ACD"/>
    <w:rsid w:val="005D4C91"/>
    <w:rsid w:val="005F5D8A"/>
    <w:rsid w:val="006109BE"/>
    <w:rsid w:val="00615D15"/>
    <w:rsid w:val="00617879"/>
    <w:rsid w:val="00635B26"/>
    <w:rsid w:val="0072237F"/>
    <w:rsid w:val="0084476B"/>
    <w:rsid w:val="009172C7"/>
    <w:rsid w:val="00984C79"/>
    <w:rsid w:val="009D145F"/>
    <w:rsid w:val="00A022FF"/>
    <w:rsid w:val="00A1133A"/>
    <w:rsid w:val="00A767DA"/>
    <w:rsid w:val="00AA1768"/>
    <w:rsid w:val="00AB55DA"/>
    <w:rsid w:val="00C2021E"/>
    <w:rsid w:val="00D0750D"/>
    <w:rsid w:val="00DB50EB"/>
    <w:rsid w:val="00E15227"/>
    <w:rsid w:val="00F144B7"/>
    <w:rsid w:val="00F24BA0"/>
    <w:rsid w:val="00FE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05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05D4"/>
    <w:rPr>
      <w:sz w:val="20"/>
      <w:szCs w:val="20"/>
    </w:rPr>
  </w:style>
  <w:style w:type="character" w:styleId="FootnoteReference">
    <w:name w:val="footnote reference"/>
    <w:basedOn w:val="DefaultParagraphFont"/>
    <w:uiPriority w:val="99"/>
    <w:semiHidden/>
    <w:unhideWhenUsed/>
    <w:rsid w:val="001A05D4"/>
    <w:rPr>
      <w:vertAlign w:val="superscript"/>
    </w:rPr>
  </w:style>
  <w:style w:type="paragraph" w:styleId="Header">
    <w:name w:val="header"/>
    <w:basedOn w:val="Normal"/>
    <w:link w:val="HeaderChar"/>
    <w:uiPriority w:val="99"/>
    <w:unhideWhenUsed/>
    <w:rsid w:val="00081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F08"/>
  </w:style>
  <w:style w:type="paragraph" w:styleId="Footer">
    <w:name w:val="footer"/>
    <w:basedOn w:val="Normal"/>
    <w:link w:val="FooterChar"/>
    <w:uiPriority w:val="99"/>
    <w:unhideWhenUsed/>
    <w:rsid w:val="00081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F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A05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05D4"/>
    <w:rPr>
      <w:sz w:val="20"/>
      <w:szCs w:val="20"/>
    </w:rPr>
  </w:style>
  <w:style w:type="character" w:styleId="FootnoteReference">
    <w:name w:val="footnote reference"/>
    <w:basedOn w:val="DefaultParagraphFont"/>
    <w:uiPriority w:val="99"/>
    <w:semiHidden/>
    <w:unhideWhenUsed/>
    <w:rsid w:val="001A05D4"/>
    <w:rPr>
      <w:vertAlign w:val="superscript"/>
    </w:rPr>
  </w:style>
  <w:style w:type="paragraph" w:styleId="Header">
    <w:name w:val="header"/>
    <w:basedOn w:val="Normal"/>
    <w:link w:val="HeaderChar"/>
    <w:uiPriority w:val="99"/>
    <w:unhideWhenUsed/>
    <w:rsid w:val="00081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F08"/>
  </w:style>
  <w:style w:type="paragraph" w:styleId="Footer">
    <w:name w:val="footer"/>
    <w:basedOn w:val="Normal"/>
    <w:link w:val="FooterChar"/>
    <w:uiPriority w:val="99"/>
    <w:unhideWhenUsed/>
    <w:rsid w:val="00081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305050">
      <w:bodyDiv w:val="1"/>
      <w:marLeft w:val="0"/>
      <w:marRight w:val="0"/>
      <w:marTop w:val="0"/>
      <w:marBottom w:val="0"/>
      <w:divBdr>
        <w:top w:val="none" w:sz="0" w:space="0" w:color="auto"/>
        <w:left w:val="none" w:sz="0" w:space="0" w:color="auto"/>
        <w:bottom w:val="none" w:sz="0" w:space="0" w:color="auto"/>
        <w:right w:val="none" w:sz="0" w:space="0" w:color="auto"/>
      </w:divBdr>
      <w:divsChild>
        <w:div w:id="768353244">
          <w:marLeft w:val="0"/>
          <w:marRight w:val="0"/>
          <w:marTop w:val="0"/>
          <w:marBottom w:val="0"/>
          <w:divBdr>
            <w:top w:val="none" w:sz="0" w:space="0" w:color="auto"/>
            <w:left w:val="none" w:sz="0" w:space="0" w:color="auto"/>
            <w:bottom w:val="none" w:sz="0" w:space="0" w:color="auto"/>
            <w:right w:val="none" w:sz="0" w:space="0" w:color="auto"/>
          </w:divBdr>
        </w:div>
      </w:divsChild>
    </w:div>
    <w:div w:id="1410889173">
      <w:bodyDiv w:val="1"/>
      <w:marLeft w:val="0"/>
      <w:marRight w:val="0"/>
      <w:marTop w:val="0"/>
      <w:marBottom w:val="0"/>
      <w:divBdr>
        <w:top w:val="none" w:sz="0" w:space="0" w:color="auto"/>
        <w:left w:val="none" w:sz="0" w:space="0" w:color="auto"/>
        <w:bottom w:val="none" w:sz="0" w:space="0" w:color="auto"/>
        <w:right w:val="none" w:sz="0" w:space="0" w:color="auto"/>
      </w:divBdr>
      <w:divsChild>
        <w:div w:id="888146837">
          <w:marLeft w:val="0"/>
          <w:marRight w:val="0"/>
          <w:marTop w:val="0"/>
          <w:marBottom w:val="0"/>
          <w:divBdr>
            <w:top w:val="none" w:sz="0" w:space="0" w:color="auto"/>
            <w:left w:val="none" w:sz="0" w:space="0" w:color="auto"/>
            <w:bottom w:val="none" w:sz="0" w:space="0" w:color="auto"/>
            <w:right w:val="none" w:sz="0" w:space="0" w:color="auto"/>
          </w:divBdr>
        </w:div>
      </w:divsChild>
    </w:div>
    <w:div w:id="1884361280">
      <w:bodyDiv w:val="1"/>
      <w:marLeft w:val="0"/>
      <w:marRight w:val="0"/>
      <w:marTop w:val="0"/>
      <w:marBottom w:val="0"/>
      <w:divBdr>
        <w:top w:val="none" w:sz="0" w:space="0" w:color="auto"/>
        <w:left w:val="none" w:sz="0" w:space="0" w:color="auto"/>
        <w:bottom w:val="none" w:sz="0" w:space="0" w:color="auto"/>
        <w:right w:val="none" w:sz="0" w:space="0" w:color="auto"/>
      </w:divBdr>
      <w:divsChild>
        <w:div w:id="1277908597">
          <w:marLeft w:val="0"/>
          <w:marRight w:val="0"/>
          <w:marTop w:val="0"/>
          <w:marBottom w:val="0"/>
          <w:divBdr>
            <w:top w:val="none" w:sz="0" w:space="0" w:color="auto"/>
            <w:left w:val="none" w:sz="0" w:space="0" w:color="auto"/>
            <w:bottom w:val="none" w:sz="0" w:space="0" w:color="auto"/>
            <w:right w:val="none" w:sz="0" w:space="0" w:color="auto"/>
          </w:divBdr>
        </w:div>
      </w:divsChild>
    </w:div>
    <w:div w:id="1924072179">
      <w:bodyDiv w:val="1"/>
      <w:marLeft w:val="0"/>
      <w:marRight w:val="0"/>
      <w:marTop w:val="0"/>
      <w:marBottom w:val="0"/>
      <w:divBdr>
        <w:top w:val="none" w:sz="0" w:space="0" w:color="auto"/>
        <w:left w:val="none" w:sz="0" w:space="0" w:color="auto"/>
        <w:bottom w:val="none" w:sz="0" w:space="0" w:color="auto"/>
        <w:right w:val="none" w:sz="0" w:space="0" w:color="auto"/>
      </w:divBdr>
      <w:divsChild>
        <w:div w:id="1234318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2C46F-B370-4ECE-AAE3-DA7B6AA04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7</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24</cp:revision>
  <dcterms:created xsi:type="dcterms:W3CDTF">2017-07-06T08:39:00Z</dcterms:created>
  <dcterms:modified xsi:type="dcterms:W3CDTF">2017-07-07T10:28:00Z</dcterms:modified>
</cp:coreProperties>
</file>