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6C" w:rsidRPr="00F23893" w:rsidRDefault="00BC0A1C">
      <w:r w:rsidRPr="00F23893">
        <w:t xml:space="preserve"> </w:t>
      </w:r>
    </w:p>
    <w:p w:rsidR="0011196C" w:rsidRPr="00F23893" w:rsidRDefault="0011196C"/>
    <w:p w:rsidR="0011196C" w:rsidRPr="00F23893" w:rsidRDefault="0011196C"/>
    <w:p w:rsidR="0011196C" w:rsidRPr="00F23893" w:rsidRDefault="0011196C"/>
    <w:p w:rsidR="0011196C" w:rsidRPr="00F23893" w:rsidRDefault="0011196C"/>
    <w:p w:rsidR="0011196C" w:rsidRPr="00F23893" w:rsidRDefault="0011196C"/>
    <w:p w:rsidR="0011196C" w:rsidRPr="00F23893" w:rsidRDefault="0011196C"/>
    <w:p w:rsidR="0011196C" w:rsidRPr="00F23893" w:rsidRDefault="0011196C"/>
    <w:p w:rsidR="0011196C" w:rsidRPr="00F23893" w:rsidRDefault="0011196C"/>
    <w:p w:rsidR="0011196C" w:rsidRPr="00F23893" w:rsidRDefault="0011196C"/>
    <w:p w:rsidR="0011196C" w:rsidRPr="00F23893" w:rsidRDefault="0011196C"/>
    <w:p w:rsidR="001A1573" w:rsidRPr="00F23893" w:rsidRDefault="00BC0A1C" w:rsidP="0011196C">
      <w:pPr>
        <w:jc w:val="center"/>
      </w:pPr>
      <w:r w:rsidRPr="00F23893">
        <w:t>Religion and Theology</w:t>
      </w:r>
    </w:p>
    <w:p w:rsidR="0011196C" w:rsidRPr="00F23893" w:rsidRDefault="0011196C"/>
    <w:p w:rsidR="0011196C" w:rsidRPr="00F23893" w:rsidRDefault="0011196C"/>
    <w:p w:rsidR="0011196C" w:rsidRPr="00F23893" w:rsidRDefault="0011196C"/>
    <w:p w:rsidR="0011196C" w:rsidRPr="00F23893" w:rsidRDefault="00FA490C" w:rsidP="00FA490C">
      <w:pPr>
        <w:tabs>
          <w:tab w:val="left" w:pos="1130"/>
        </w:tabs>
      </w:pPr>
      <w:r w:rsidRPr="00F23893">
        <w:tab/>
      </w:r>
    </w:p>
    <w:p w:rsidR="0011196C" w:rsidRPr="00F23893" w:rsidRDefault="0011196C"/>
    <w:p w:rsidR="00A40EBA" w:rsidRPr="00F23893" w:rsidRDefault="00A40EBA">
      <w:pPr>
        <w:rPr>
          <w:b/>
        </w:rPr>
      </w:pPr>
      <w:r w:rsidRPr="00F23893">
        <w:rPr>
          <w:b/>
        </w:rPr>
        <w:lastRenderedPageBreak/>
        <w:t>Acts 4:12</w:t>
      </w:r>
    </w:p>
    <w:p w:rsidR="00A40EBA" w:rsidRPr="00F23893" w:rsidRDefault="006E12BF" w:rsidP="00BB55CD">
      <w:pPr>
        <w:ind w:firstLine="720"/>
        <w:contextualSpacing/>
      </w:pPr>
      <w:r w:rsidRPr="00F23893">
        <w:t xml:space="preserve">In Acts 4: 12, the Bible asserts that salvation is found in no one else, and that there is no other name under heaven by which people must be saved. Thus, it can be observed that in this passage, emphasis is on </w:t>
      </w:r>
      <w:r w:rsidR="004F287A" w:rsidRPr="00F23893">
        <w:t xml:space="preserve">the name by which people must be saved and that the important name is Jesus’. </w:t>
      </w:r>
    </w:p>
    <w:p w:rsidR="009E27DE" w:rsidRPr="00F23893" w:rsidRDefault="003E4072" w:rsidP="00BB55CD">
      <w:pPr>
        <w:ind w:firstLine="720"/>
        <w:contextualSpacing/>
      </w:pPr>
      <w:r w:rsidRPr="00F23893">
        <w:t xml:space="preserve">Julia Ching appears to address the topic as presented in Acts 4:12, about the existence of no other name. Julia asserts that </w:t>
      </w:r>
      <w:r w:rsidR="00C1146B" w:rsidRPr="00F23893">
        <w:t xml:space="preserve">the name of Jesus Christ of Nazareth is superior to all other names and it is a name that worked miracles as was the case when </w:t>
      </w:r>
      <w:r w:rsidR="0041625E" w:rsidRPr="00F23893">
        <w:t>Peter and John</w:t>
      </w:r>
      <w:r w:rsidR="00B132F0" w:rsidRPr="00F23893">
        <w:t xml:space="preserve"> used it to heal the </w:t>
      </w:r>
      <w:r w:rsidR="0041625E" w:rsidRPr="00F23893">
        <w:t>beggar</w:t>
      </w:r>
      <w:r w:rsidR="00570D88" w:rsidRPr="00F23893">
        <w:t>.</w:t>
      </w:r>
      <w:r w:rsidR="00F940AD" w:rsidRPr="00F23893">
        <w:rPr>
          <w:rStyle w:val="FootnoteReference"/>
        </w:rPr>
        <w:footnoteReference w:id="2"/>
      </w:r>
      <w:r w:rsidR="00090B1E" w:rsidRPr="00F23893">
        <w:t xml:space="preserve"> When these two disciples were going to pray, </w:t>
      </w:r>
      <w:r w:rsidR="007B4E5D" w:rsidRPr="00F23893">
        <w:t xml:space="preserve">they were met by a beggar at the gate, who wanted money from them. However, since the two were no longer active fishermen as they had been, they acknowledged that they did not have money with them at that time. </w:t>
      </w:r>
      <w:r w:rsidR="00F204CA" w:rsidRPr="00F23893">
        <w:t>Peter looked at the beggar and said to him that he did not have silver or gold. However, Peter promised to give what he had, and he told the beggar to walk, in the name of Jesus Christ of Nazareth.</w:t>
      </w:r>
      <w:r w:rsidR="0051737C" w:rsidRPr="00F23893">
        <w:rPr>
          <w:rStyle w:val="FootnoteReference"/>
        </w:rPr>
        <w:footnoteReference w:id="3"/>
      </w:r>
      <w:r w:rsidR="00F204CA" w:rsidRPr="00F23893">
        <w:t xml:space="preserve"> From this passage, it can be observed that Peter and John acknowledged the importance and </w:t>
      </w:r>
      <w:r w:rsidR="00E05E14" w:rsidRPr="00F23893">
        <w:t>uniqueness of the name of Jesus Christ of Nazareth. It is a powerful name that changed the beggar’s life and he walked. He could start working and feeding for himself after getting healed. Thus, J</w:t>
      </w:r>
      <w:r w:rsidR="00097725" w:rsidRPr="00F23893">
        <w:t xml:space="preserve">ulia’s article corresponds with the passage in the Bible in Acts 4:12 that asserts of the uniqueness of the name of Jesus </w:t>
      </w:r>
      <w:r w:rsidR="00C27826" w:rsidRPr="00F23893">
        <w:t>Christ</w:t>
      </w:r>
      <w:r w:rsidR="00097725" w:rsidRPr="00F23893">
        <w:t xml:space="preserve"> of Nazareth. Just as the Bible verse asserts that people will only be saved by the name of Jesus Christ of Nazareth, so it happened to the beggar. He was saved from his challenging life after receiving healing. </w:t>
      </w:r>
      <w:r w:rsidR="00DD33BC" w:rsidRPr="00F23893">
        <w:t xml:space="preserve">It can be acknowledged that there are various names that can be used, but they may not have the powers to save. </w:t>
      </w:r>
    </w:p>
    <w:p w:rsidR="009E27DE" w:rsidRPr="00F23893" w:rsidRDefault="009E27DE" w:rsidP="00BB55CD">
      <w:pPr>
        <w:ind w:firstLine="720"/>
        <w:contextualSpacing/>
      </w:pPr>
      <w:r w:rsidRPr="00F23893">
        <w:lastRenderedPageBreak/>
        <w:t xml:space="preserve">It can be argued that the intent of the author is to amplify the knowledge about the power in the name of Jesus. This statement is based on the observation that </w:t>
      </w:r>
      <w:r w:rsidR="00FC70B4" w:rsidRPr="00F23893">
        <w:t>Ching goes deeper in trying to enhance the understanding of the power in the name of Jesus by further evaluating the deeds of Peter and John regarding the beggar. For example, Ching asserts that the beggar did not request to be healed.</w:t>
      </w:r>
      <w:r w:rsidR="00F86643" w:rsidRPr="00F23893">
        <w:rPr>
          <w:rStyle w:val="FootnoteReference"/>
        </w:rPr>
        <w:footnoteReference w:id="4"/>
      </w:r>
      <w:r w:rsidR="00FC70B4" w:rsidRPr="00F23893">
        <w:t xml:space="preserve"> On the contrary, he only wanted money, which Peter and John di</w:t>
      </w:r>
      <w:r w:rsidR="008B756C" w:rsidRPr="00F23893">
        <w:t xml:space="preserve">d not have. Thus, by arguing that the beggar’s healing depended not on his faith, but on the faith of Peter, Ching </w:t>
      </w:r>
      <w:r w:rsidR="003E28E0" w:rsidRPr="00F23893">
        <w:t xml:space="preserve">strives to show how powerful the name of Jesus is, and that no other name could have achieved similar fetes. </w:t>
      </w:r>
      <w:r w:rsidR="00C2486F" w:rsidRPr="00F23893">
        <w:t xml:space="preserve">It cannot be claimed that the beggar was healed because of his faith because he was never interested in healing in the first place. Thus, his healing solely depended on Peter’s faith in the name of Jesus, when he told the beggar to get up and walk, in the name of Jesus </w:t>
      </w:r>
      <w:r w:rsidR="00D244B6" w:rsidRPr="00F23893">
        <w:t>Christ</w:t>
      </w:r>
      <w:r w:rsidR="00C2486F" w:rsidRPr="00F23893">
        <w:t xml:space="preserve"> of Nazareth. </w:t>
      </w:r>
      <w:r w:rsidR="00791085" w:rsidRPr="00F23893">
        <w:t xml:space="preserve">This analysis shows that Ching’s intention was to show the greatness of the name of Jesus Christ as portrayed in the Bible. To a person intending to understand the passage, Ching’s analysis can be highly appropriate. </w:t>
      </w:r>
    </w:p>
    <w:p w:rsidR="009E27DE" w:rsidRPr="00F23893" w:rsidRDefault="00504F54" w:rsidP="00EC3D70">
      <w:pPr>
        <w:ind w:firstLine="720"/>
        <w:contextualSpacing/>
      </w:pPr>
      <w:r w:rsidRPr="00F23893">
        <w:t xml:space="preserve">Utley </w:t>
      </w:r>
      <w:r w:rsidR="006C4CD8" w:rsidRPr="00F23893">
        <w:t xml:space="preserve">provides another </w:t>
      </w:r>
      <w:r w:rsidR="00ED76F8" w:rsidRPr="00F23893">
        <w:t>evaluation</w:t>
      </w:r>
      <w:r w:rsidR="006C4CD8" w:rsidRPr="00F23893">
        <w:t xml:space="preserve"> of Acts 4:12 regarding the acquisition of salvation. Utley’s utilizes a rich approach based on the further expounding </w:t>
      </w:r>
      <w:r w:rsidR="002C60A3" w:rsidRPr="00F23893">
        <w:t>of the meaning of the statement regarding salvation.</w:t>
      </w:r>
      <w:r w:rsidR="00D93721" w:rsidRPr="00F23893">
        <w:rPr>
          <w:rStyle w:val="FootnoteReference"/>
        </w:rPr>
        <w:footnoteReference w:id="5"/>
      </w:r>
      <w:r w:rsidR="002C60A3" w:rsidRPr="00F23893">
        <w:t xml:space="preserve"> The author goes on to expound on the meaning regarding salvation by providing additional verses from the Bible. Additionally, the author goes on to evaluate the meaning of the statement by evaluating the grammar. For example, Utley asserts that the </w:t>
      </w:r>
      <w:r w:rsidR="00B52DEF" w:rsidRPr="00F23893">
        <w:t xml:space="preserve">article “has been given” from the statement “there is no other name under heaven that has been given </w:t>
      </w:r>
      <w:r w:rsidR="00B52DEF" w:rsidRPr="00F23893">
        <w:lastRenderedPageBreak/>
        <w:t xml:space="preserve">among men” is </w:t>
      </w:r>
      <w:r w:rsidR="00824749" w:rsidRPr="00F23893">
        <w:t>a perfect</w:t>
      </w:r>
      <w:r w:rsidR="003E6C9A" w:rsidRPr="00F23893">
        <w:t xml:space="preserve"> passive.</w:t>
      </w:r>
      <w:r w:rsidR="00701341" w:rsidRPr="00F23893">
        <w:rPr>
          <w:rStyle w:val="FootnoteReference"/>
        </w:rPr>
        <w:footnoteReference w:id="6"/>
      </w:r>
      <w:r w:rsidR="003E6C9A" w:rsidRPr="00F23893">
        <w:t xml:space="preserve"> The intention of the author to analyze the tense in which the statement is written is an </w:t>
      </w:r>
      <w:r w:rsidR="00ED76F8" w:rsidRPr="00F23893">
        <w:t>indication</w:t>
      </w:r>
      <w:r w:rsidR="003E6C9A" w:rsidRPr="00F23893">
        <w:t xml:space="preserve"> of a person </w:t>
      </w:r>
      <w:r w:rsidR="004558C4" w:rsidRPr="00F23893">
        <w:t xml:space="preserve">intending to exemplify and enhance the meaning of the statement. The audience </w:t>
      </w:r>
      <w:r w:rsidR="003A5BE6" w:rsidRPr="00F23893">
        <w:t xml:space="preserve">can thus understand the authority in the statement by understanding the tense in which it was written. </w:t>
      </w:r>
    </w:p>
    <w:p w:rsidR="00BA45E6" w:rsidRPr="00F23893" w:rsidRDefault="0063020E" w:rsidP="00BB55CD">
      <w:pPr>
        <w:ind w:firstLine="720"/>
        <w:contextualSpacing/>
      </w:pPr>
      <w:r w:rsidRPr="00F23893">
        <w:t xml:space="preserve">Boesak’s article also appears to have a direct relation with the </w:t>
      </w:r>
      <w:r w:rsidR="00454791" w:rsidRPr="00F23893">
        <w:t>chosen topic in Acts 4:12. Boesak asserts of the relevance of Jesus’ name in the Chr</w:t>
      </w:r>
      <w:r w:rsidR="003629A4" w:rsidRPr="00F23893">
        <w:t>istian world based on its power.</w:t>
      </w:r>
      <w:r w:rsidR="00EC3D70" w:rsidRPr="00F23893">
        <w:rPr>
          <w:rStyle w:val="FootnoteReference"/>
        </w:rPr>
        <w:footnoteReference w:id="7"/>
      </w:r>
      <w:r w:rsidR="003629A4" w:rsidRPr="00F23893">
        <w:t xml:space="preserve"> Through the name of Jesus, all people receive their salvation. It is a name that the disciples and current missionaries can find solace in because its power is eternal. Just as the name was powerful when Jesus lived on earth, so is the name powerful even now. </w:t>
      </w:r>
      <w:r w:rsidR="00251585" w:rsidRPr="00F23893">
        <w:t>From an evaluation of the article, it can be argued that Boesak’</w:t>
      </w:r>
      <w:r w:rsidR="00886885" w:rsidRPr="00F23893">
        <w:t xml:space="preserve">s intentions are geared towards exemplifying the role of the name of Jesus Christ in saving mankind. </w:t>
      </w:r>
    </w:p>
    <w:p w:rsidR="007C270E" w:rsidRPr="00F23893" w:rsidRDefault="00775CAE" w:rsidP="00BB55CD">
      <w:pPr>
        <w:ind w:firstLine="720"/>
        <w:contextualSpacing/>
      </w:pPr>
      <w:r w:rsidRPr="00F23893">
        <w:t xml:space="preserve">Constable’s </w:t>
      </w:r>
      <w:r w:rsidR="005317CC" w:rsidRPr="00F23893">
        <w:t>article</w:t>
      </w:r>
      <w:r w:rsidRPr="00F23893">
        <w:t xml:space="preserve"> on “Notes on Acts” provides more information that pertains to the historical background of Acts’ authorship. </w:t>
      </w:r>
      <w:r w:rsidR="005317CC" w:rsidRPr="00F23893">
        <w:t xml:space="preserve">Constable provides additional information such as the structure, unique features, </w:t>
      </w:r>
      <w:r w:rsidR="009134C0" w:rsidRPr="00F23893">
        <w:t>purpose, genre, scope, outline, and message.</w:t>
      </w:r>
      <w:r w:rsidR="00B66776" w:rsidRPr="00F23893">
        <w:rPr>
          <w:rStyle w:val="FootnoteReference"/>
        </w:rPr>
        <w:footnoteReference w:id="8"/>
      </w:r>
      <w:r w:rsidR="009134C0" w:rsidRPr="00F23893">
        <w:t xml:space="preserve"> </w:t>
      </w:r>
      <w:r w:rsidR="00D4080D" w:rsidRPr="00F23893">
        <w:t xml:space="preserve">However, when it comes to an evaluation of Acts 4:12, Constable’s information relates to the topic regarding the role of the name of Jesus Christ in delivering and saving people. </w:t>
      </w:r>
      <w:r w:rsidR="00EE7D93" w:rsidRPr="00F23893">
        <w:t xml:space="preserve">Constable strives to provide additional </w:t>
      </w:r>
      <w:r w:rsidR="00EE7D93" w:rsidRPr="00F23893">
        <w:lastRenderedPageBreak/>
        <w:t xml:space="preserve">information regarding that topic. </w:t>
      </w:r>
      <w:r w:rsidR="00EF00D4" w:rsidRPr="00F23893">
        <w:t>The</w:t>
      </w:r>
      <w:r w:rsidR="00EE7D93" w:rsidRPr="00F23893">
        <w:t xml:space="preserve"> additional information regards additional scripture in the Bible that relates to the association between salvation and Jesus.</w:t>
      </w:r>
      <w:r w:rsidR="006B64BB" w:rsidRPr="00F23893">
        <w:t xml:space="preserve"> The provision of additional notes on Acts is an intention of the author to </w:t>
      </w:r>
      <w:r w:rsidR="001E66ED" w:rsidRPr="00F23893">
        <w:t xml:space="preserve">provide background information that </w:t>
      </w:r>
      <w:r w:rsidR="004A7D43" w:rsidRPr="00F23893">
        <w:t>heightens</w:t>
      </w:r>
      <w:r w:rsidR="001E66ED" w:rsidRPr="00F23893">
        <w:t xml:space="preserve"> understanding of the passage. </w:t>
      </w:r>
      <w:r w:rsidR="005A1DF5" w:rsidRPr="00F23893">
        <w:t xml:space="preserve">It is also wroth </w:t>
      </w:r>
      <w:r w:rsidR="00DE5BA6" w:rsidRPr="00F23893">
        <w:t>noting</w:t>
      </w:r>
      <w:r w:rsidR="005A1DF5" w:rsidRPr="00F23893">
        <w:t xml:space="preserve"> that </w:t>
      </w:r>
      <w:r w:rsidR="00DE5BA6" w:rsidRPr="00F23893">
        <w:t>C</w:t>
      </w:r>
      <w:r w:rsidR="005A1DF5" w:rsidRPr="00F23893">
        <w:t xml:space="preserve">onstable </w:t>
      </w:r>
      <w:r w:rsidR="002A4085" w:rsidRPr="00F23893">
        <w:t xml:space="preserve">engages the </w:t>
      </w:r>
      <w:r w:rsidR="00605CE2" w:rsidRPr="00F23893">
        <w:t>reader by trying to explain about Peter’s audience. Constable’s intention is to inform the reader about Acts 4:12 regarding the audience to whom Peter as speaking and his courage in standing before a congregation full of intellectual and wealth people in the region.</w:t>
      </w:r>
      <w:r w:rsidR="006E26A4" w:rsidRPr="00F23893">
        <w:rPr>
          <w:rStyle w:val="FootnoteReference"/>
        </w:rPr>
        <w:footnoteReference w:id="9"/>
      </w:r>
      <w:r w:rsidR="00605CE2" w:rsidRPr="00F23893">
        <w:t xml:space="preserve"> </w:t>
      </w:r>
      <w:r w:rsidR="003709F0" w:rsidRPr="00F23893">
        <w:t xml:space="preserve">It is possible to observe that </w:t>
      </w:r>
      <w:r w:rsidR="00ED76F8" w:rsidRPr="00F23893">
        <w:t>Constable</w:t>
      </w:r>
      <w:r w:rsidR="003709F0" w:rsidRPr="00F23893">
        <w:t xml:space="preserve"> does not want his targeted audience to be confused about the statement regarding ‘no other name’ because he takes measures to provide additional information regarding the potential </w:t>
      </w:r>
      <w:r w:rsidR="00ED76F8" w:rsidRPr="00F23893">
        <w:t>consequences</w:t>
      </w:r>
      <w:r w:rsidR="003709F0" w:rsidRPr="00F23893">
        <w:t xml:space="preserve"> of Peter’s statement. The information provided by Constable is appropriate and necessary because it assists the reader to understand the environment in which Peter operated at that time. </w:t>
      </w:r>
      <w:r w:rsidR="00CE6958" w:rsidRPr="00F23893">
        <w:t xml:space="preserve">It is possible </w:t>
      </w:r>
      <w:r w:rsidR="00986D29" w:rsidRPr="00F23893">
        <w:t xml:space="preserve">for the reader to deduce that Peter risked greatly by asserting of the greatness of the name of Jesus at a time when </w:t>
      </w:r>
      <w:r w:rsidR="00B943C1" w:rsidRPr="00F23893">
        <w:t xml:space="preserve">there were a large population of highly influential people that were against the disciples’ work. </w:t>
      </w:r>
    </w:p>
    <w:p w:rsidR="00CB68D0" w:rsidRPr="00F23893" w:rsidRDefault="00CB68D0" w:rsidP="00BB55CD">
      <w:pPr>
        <w:ind w:firstLine="720"/>
        <w:contextualSpacing/>
      </w:pPr>
      <w:r w:rsidRPr="00F23893">
        <w:t>Culpepper’s article is also related to the topic in Acts 4:12</w:t>
      </w:r>
      <w:r w:rsidR="00F905FB" w:rsidRPr="00F23893">
        <w:t>,</w:t>
      </w:r>
      <w:r w:rsidRPr="00F23893">
        <w:t xml:space="preserve"> and the inf</w:t>
      </w:r>
      <w:r w:rsidR="003247F7" w:rsidRPr="00F23893">
        <w:t xml:space="preserve">ormation is easy to understand based on the way it is written. Culpepper provides </w:t>
      </w:r>
      <w:r w:rsidR="00716D0D" w:rsidRPr="00F23893">
        <w:t xml:space="preserve">sufficient information related to Acts 4 especially regarding salvation </w:t>
      </w:r>
      <w:r w:rsidR="00516CF4" w:rsidRPr="00F23893">
        <w:t>and</w:t>
      </w:r>
      <w:r w:rsidR="00716D0D" w:rsidRPr="00F23893">
        <w:t xml:space="preserve"> its influence on </w:t>
      </w:r>
      <w:r w:rsidR="00516CF4" w:rsidRPr="00F23893">
        <w:t>Christians</w:t>
      </w:r>
      <w:r w:rsidR="00716D0D" w:rsidRPr="00F23893">
        <w:t>.</w:t>
      </w:r>
      <w:r w:rsidR="00D000FB" w:rsidRPr="00F23893">
        <w:rPr>
          <w:rStyle w:val="FootnoteReference"/>
        </w:rPr>
        <w:footnoteReference w:id="10"/>
      </w:r>
      <w:r w:rsidR="00716D0D" w:rsidRPr="00F23893">
        <w:t xml:space="preserve"> This information is appropriate for readers intending to understand about </w:t>
      </w:r>
      <w:r w:rsidR="00516CF4" w:rsidRPr="00F23893">
        <w:t>Christianity</w:t>
      </w:r>
      <w:r w:rsidR="00716D0D" w:rsidRPr="00F23893">
        <w:t xml:space="preserve"> and the book of Acts. </w:t>
      </w:r>
      <w:r w:rsidR="008A05E5" w:rsidRPr="00F23893">
        <w:t xml:space="preserve">However, Culpeper does not provide extensive information regarding the intended topic. </w:t>
      </w:r>
      <w:r w:rsidR="00311BD4" w:rsidRPr="00F23893">
        <w:t>Based</w:t>
      </w:r>
      <w:r w:rsidR="00152519" w:rsidRPr="00F23893">
        <w:t xml:space="preserve"> </w:t>
      </w:r>
      <w:r w:rsidR="00152519" w:rsidRPr="00F23893">
        <w:lastRenderedPageBreak/>
        <w:t xml:space="preserve">on the variations in understanding of passages by people, it would have been better had Culpepper used more </w:t>
      </w:r>
      <w:r w:rsidR="00311BD4" w:rsidRPr="00F23893">
        <w:t>information</w:t>
      </w:r>
      <w:r w:rsidR="00152519" w:rsidRPr="00F23893">
        <w:t xml:space="preserve"> </w:t>
      </w:r>
      <w:r w:rsidR="00311BD4" w:rsidRPr="00F23893">
        <w:t>regarding</w:t>
      </w:r>
      <w:r w:rsidR="00152519" w:rsidRPr="00F23893">
        <w:t xml:space="preserve"> the topic to enhance understanding. More importantly, it would have been better to provide historical information to enhance understanding of the identified passage. Sometimes, it </w:t>
      </w:r>
      <w:r w:rsidR="00311BD4" w:rsidRPr="00F23893">
        <w:t>would</w:t>
      </w:r>
      <w:r w:rsidR="00152519" w:rsidRPr="00F23893">
        <w:t xml:space="preserve"> be better for authors to engage their readers by providing background information to enhance understanding</w:t>
      </w:r>
      <w:r w:rsidR="008642BE" w:rsidRPr="00F23893">
        <w:t xml:space="preserve">, rather than just stating the passage. </w:t>
      </w:r>
    </w:p>
    <w:p w:rsidR="00DE5BD0" w:rsidRPr="00F23893" w:rsidRDefault="008A5849" w:rsidP="00BB55CD">
      <w:pPr>
        <w:ind w:firstLine="720"/>
        <w:contextualSpacing/>
      </w:pPr>
      <w:r w:rsidRPr="00F23893">
        <w:t>Polhill’</w:t>
      </w:r>
      <w:r w:rsidR="00576CBF" w:rsidRPr="00F23893">
        <w:t>s analysis</w:t>
      </w:r>
      <w:r w:rsidRPr="00F23893">
        <w:t xml:space="preserve">, however, can be said to be extensive and does not specifically relate to the issue about ‘no other name’ as presented in Acts 4: 12. On the contrary, Polhill concentrates more on the book of Acts and </w:t>
      </w:r>
      <w:r w:rsidR="0047532B" w:rsidRPr="00F23893">
        <w:t>the author and the relevant speeches found in the book.</w:t>
      </w:r>
      <w:r w:rsidR="00C82394" w:rsidRPr="00F23893">
        <w:rPr>
          <w:rStyle w:val="FootnoteReference"/>
        </w:rPr>
        <w:footnoteReference w:id="11"/>
      </w:r>
      <w:r w:rsidR="0047532B" w:rsidRPr="00F23893">
        <w:t xml:space="preserve"> </w:t>
      </w:r>
      <w:r w:rsidR="00AB5BF4" w:rsidRPr="00F23893">
        <w:t xml:space="preserve"> It can be argued that emphasis is placed on other elements such as </w:t>
      </w:r>
      <w:r w:rsidR="00470776" w:rsidRPr="00F23893">
        <w:t xml:space="preserve">the date of the Acts, </w:t>
      </w:r>
      <w:r w:rsidR="00573C5C" w:rsidRPr="00F23893">
        <w:t xml:space="preserve">Acts’ provenance and destination, </w:t>
      </w:r>
      <w:r w:rsidR="009B0679" w:rsidRPr="00F23893">
        <w:t xml:space="preserve">source of Acts, </w:t>
      </w:r>
      <w:r w:rsidR="009B6860" w:rsidRPr="00F23893">
        <w:t xml:space="preserve">and the texts and speeches of Acts, among others such as an evaluation of Luke as a Greek writer. </w:t>
      </w:r>
      <w:r w:rsidR="000D5996" w:rsidRPr="00F23893">
        <w:t xml:space="preserve">Thus, it can be observed that Polhill, unlike Julia Ching, whose article is a direct </w:t>
      </w:r>
      <w:r w:rsidR="009B6768" w:rsidRPr="00F23893">
        <w:t xml:space="preserve">relation to the topic in Acts 4:12. Polhill emphasizes more on the provision of additional </w:t>
      </w:r>
      <w:r w:rsidR="002C38AD" w:rsidRPr="00F23893">
        <w:t>information</w:t>
      </w:r>
      <w:r w:rsidR="009B6768" w:rsidRPr="00F23893">
        <w:t xml:space="preserve"> regarding Acts, its authorship, the use of rich Greek language and the success of Luke as a Greek orator and author.</w:t>
      </w:r>
      <w:r w:rsidR="000575AE" w:rsidRPr="00F23893">
        <w:rPr>
          <w:rStyle w:val="FootnoteReference"/>
        </w:rPr>
        <w:footnoteReference w:id="12"/>
      </w:r>
      <w:r w:rsidR="009B6768" w:rsidRPr="00F23893">
        <w:t xml:space="preserve"> To a person that intends to learn background information about Luke and Acts, Polhill’s book </w:t>
      </w:r>
      <w:r w:rsidR="002C38AD" w:rsidRPr="00F23893">
        <w:t xml:space="preserve">is appropriate. </w:t>
      </w:r>
      <w:r w:rsidR="00F005E0" w:rsidRPr="00F23893">
        <w:t xml:space="preserve">The provision of additional historical information is </w:t>
      </w:r>
      <w:r w:rsidR="005C03D0" w:rsidRPr="00F23893">
        <w:t xml:space="preserve">appropriate because it prepares the reader to understand about Acts. </w:t>
      </w:r>
      <w:r w:rsidR="001F682D" w:rsidRPr="00F23893">
        <w:t>Therefore</w:t>
      </w:r>
      <w:r w:rsidR="00A64ABB" w:rsidRPr="00F23893">
        <w:t xml:space="preserve">, it can be argued that Polhill plays a significant role in providing critical information that </w:t>
      </w:r>
      <w:r w:rsidR="00E5362F" w:rsidRPr="00F23893">
        <w:t>heightens</w:t>
      </w:r>
      <w:r w:rsidR="00A64ABB" w:rsidRPr="00F23893">
        <w:t xml:space="preserve"> understanding of the topic. </w:t>
      </w:r>
      <w:r w:rsidR="00E5362F" w:rsidRPr="00F23893">
        <w:t xml:space="preserve">It is possible to understand Luke’s experience based on his mastery of the Greek language. A reader can thus observe that Luke was intelligent and had taken time to master the application of the </w:t>
      </w:r>
      <w:r w:rsidR="004F6688" w:rsidRPr="00F23893">
        <w:t>Greek</w:t>
      </w:r>
      <w:r w:rsidR="00E5362F" w:rsidRPr="00F23893">
        <w:t xml:space="preserve"> language. Such information </w:t>
      </w:r>
      <w:r w:rsidR="00E5362F" w:rsidRPr="00F23893">
        <w:lastRenderedPageBreak/>
        <w:t xml:space="preserve">is important for bible scholars or other people interested in understanding more about Luke and his role in the advancement of the gospel. </w:t>
      </w:r>
    </w:p>
    <w:p w:rsidR="00397E20" w:rsidRPr="00F23893" w:rsidRDefault="00397E20" w:rsidP="00BB55CD">
      <w:pPr>
        <w:ind w:firstLine="720"/>
        <w:contextualSpacing/>
      </w:pPr>
      <w:r w:rsidRPr="00F23893">
        <w:t xml:space="preserve">In conclusion, it can be observed that Acts 4:12 plays a significant role </w:t>
      </w:r>
      <w:r w:rsidR="00933711" w:rsidRPr="00F23893">
        <w:t xml:space="preserve">in the advancement of the gospel based on the statement about no other name. </w:t>
      </w:r>
      <w:r w:rsidR="007C135F" w:rsidRPr="00F23893">
        <w:t>This</w:t>
      </w:r>
      <w:r w:rsidR="00713CB5" w:rsidRPr="00F23893">
        <w:t xml:space="preserve"> statement forms the bases of missionary work </w:t>
      </w:r>
      <w:r w:rsidR="007C135F" w:rsidRPr="00F23893">
        <w:t>because</w:t>
      </w:r>
      <w:r w:rsidR="00713CB5" w:rsidRPr="00F23893">
        <w:t xml:space="preserve"> it is through this name </w:t>
      </w:r>
      <w:r w:rsidR="007C135F" w:rsidRPr="00F23893">
        <w:t xml:space="preserve">that Christians proclaim the Christianity faith. </w:t>
      </w:r>
      <w:r w:rsidR="00BE2731" w:rsidRPr="00F23893">
        <w:t xml:space="preserve">Whereas some authors have contributed </w:t>
      </w:r>
      <w:r w:rsidR="00831FF3" w:rsidRPr="00F23893">
        <w:t>greatly</w:t>
      </w:r>
      <w:r w:rsidR="00BE2731" w:rsidRPr="00F23893">
        <w:t xml:space="preserve"> to the enhancement of understanding of the topic through the </w:t>
      </w:r>
      <w:r w:rsidR="00831FF3" w:rsidRPr="00F23893">
        <w:t>provision</w:t>
      </w:r>
      <w:r w:rsidR="00BE2731" w:rsidRPr="00F23893">
        <w:t xml:space="preserve"> of background infor</w:t>
      </w:r>
      <w:r w:rsidR="00F86241" w:rsidRPr="00F23893">
        <w:t>mation, others have not provided as much. The provision of additional background information</w:t>
      </w:r>
      <w:r w:rsidR="000C2823" w:rsidRPr="00F23893">
        <w:t xml:space="preserve"> heightens understanding. </w:t>
      </w:r>
    </w:p>
    <w:p w:rsidR="00992B82" w:rsidRPr="00F23893" w:rsidRDefault="00992B82"/>
    <w:p w:rsidR="00B52C50" w:rsidRPr="00F23893" w:rsidRDefault="00B52C50"/>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E2677D" w:rsidRPr="00F23893" w:rsidRDefault="00B52C50" w:rsidP="00E2677D">
      <w:pPr>
        <w:jc w:val="center"/>
      </w:pPr>
      <w:r w:rsidRPr="00F23893">
        <w:lastRenderedPageBreak/>
        <w:t>Bibliography</w:t>
      </w:r>
    </w:p>
    <w:p w:rsidR="00E2677D" w:rsidRPr="00F23893" w:rsidRDefault="00E2677D" w:rsidP="00A823AE">
      <w:pPr>
        <w:ind w:left="720" w:hanging="720"/>
        <w:contextualSpacing/>
      </w:pPr>
      <w:bookmarkStart w:id="0" w:name="Result_30"/>
      <w:r w:rsidRPr="00F23893">
        <w:t>Boesak, Allan Aubrey. “In the Name of Jesus: Acts 4:12.</w:t>
      </w:r>
      <w:bookmarkEnd w:id="0"/>
      <w:r w:rsidRPr="00F23893">
        <w:t xml:space="preserve">” </w:t>
      </w:r>
      <w:r w:rsidRPr="00F23893">
        <w:rPr>
          <w:i/>
          <w:iCs/>
        </w:rPr>
        <w:t>Journal of Theology for Southern Africa</w:t>
      </w:r>
      <w:r w:rsidRPr="00F23893">
        <w:t xml:space="preserve"> 52 (September 1985): 49–55.</w:t>
      </w:r>
    </w:p>
    <w:p w:rsidR="00E2677D" w:rsidRPr="00F23893" w:rsidRDefault="00E2677D" w:rsidP="00A823AE">
      <w:pPr>
        <w:ind w:left="720" w:hanging="720"/>
        <w:contextualSpacing/>
      </w:pPr>
      <w:r w:rsidRPr="00F23893">
        <w:t xml:space="preserve">Ching, Julia. “No Other Name.” </w:t>
      </w:r>
      <w:r w:rsidRPr="00F23893">
        <w:rPr>
          <w:i/>
          <w:iCs/>
        </w:rPr>
        <w:t>Japanese Journal of Religious Studies</w:t>
      </w:r>
      <w:r w:rsidRPr="00F23893">
        <w:t xml:space="preserve"> 12, no. 2–3 (June 1985): 253–262.</w:t>
      </w:r>
    </w:p>
    <w:p w:rsidR="00E2677D" w:rsidRPr="00F23893" w:rsidRDefault="00E2677D" w:rsidP="00A823AE">
      <w:pPr>
        <w:ind w:left="720" w:hanging="720"/>
        <w:contextualSpacing/>
        <w:rPr>
          <w:rStyle w:val="medium-font"/>
        </w:rPr>
      </w:pPr>
      <w:r w:rsidRPr="00F23893">
        <w:t xml:space="preserve">Constable, Thomas L. “Notes on Acts.” </w:t>
      </w:r>
      <w:r w:rsidRPr="00F23893">
        <w:rPr>
          <w:i/>
        </w:rPr>
        <w:t>Dr. Constable’s Expository Notes</w:t>
      </w:r>
      <w:r w:rsidRPr="00F23893">
        <w:t xml:space="preserve">. (2014). </w:t>
      </w:r>
      <w:hyperlink r:id="rId7" w:history="1">
        <w:r w:rsidRPr="00F23893">
          <w:rPr>
            <w:rStyle w:val="Hyperlink"/>
            <w:color w:val="auto"/>
          </w:rPr>
          <w:t>http://www.soniclight.com/constable/notes/pdf/acts.pdf</w:t>
        </w:r>
      </w:hyperlink>
      <w:r w:rsidRPr="00F23893">
        <w:t>.</w:t>
      </w:r>
    </w:p>
    <w:p w:rsidR="00E2677D" w:rsidRPr="00F23893" w:rsidRDefault="00E2677D" w:rsidP="00A823AE">
      <w:pPr>
        <w:ind w:left="720" w:hanging="720"/>
        <w:contextualSpacing/>
        <w:rPr>
          <w:rStyle w:val="medium-font"/>
        </w:rPr>
      </w:pPr>
      <w:r w:rsidRPr="00F23893">
        <w:rPr>
          <w:rStyle w:val="medium-font"/>
        </w:rPr>
        <w:t>Culpepper, Hugo H. “</w:t>
      </w:r>
      <w:r w:rsidRPr="00F23893">
        <w:rPr>
          <w:rStyle w:val="title-link-wrapper"/>
        </w:rPr>
        <w:t>Acts 4:12.</w:t>
      </w:r>
      <w:r w:rsidRPr="00F23893">
        <w:t xml:space="preserve">” </w:t>
      </w:r>
      <w:r w:rsidRPr="00F23893">
        <w:rPr>
          <w:rStyle w:val="medium-font"/>
          <w:i/>
          <w:iCs/>
        </w:rPr>
        <w:t>Review &amp; Expositor</w:t>
      </w:r>
      <w:r w:rsidRPr="00F23893">
        <w:rPr>
          <w:rStyle w:val="medium-font"/>
        </w:rPr>
        <w:t xml:space="preserve"> 89, no. 1 (December 1992): 85–87.</w:t>
      </w:r>
    </w:p>
    <w:p w:rsidR="00E2677D" w:rsidRPr="00F23893" w:rsidRDefault="00E2677D" w:rsidP="00A823AE">
      <w:pPr>
        <w:pStyle w:val="Bibliography"/>
        <w:spacing w:line="480" w:lineRule="auto"/>
        <w:ind w:left="720" w:hanging="720"/>
        <w:contextualSpacing/>
        <w:rPr>
          <w:rFonts w:ascii="Times New Roman" w:hAnsi="Times New Roman" w:cs="Times New Roman"/>
          <w:sz w:val="24"/>
          <w:szCs w:val="24"/>
        </w:rPr>
      </w:pPr>
      <w:r w:rsidRPr="00F23893">
        <w:rPr>
          <w:rFonts w:ascii="Times New Roman" w:hAnsi="Times New Roman" w:cs="Times New Roman"/>
          <w:sz w:val="24"/>
          <w:szCs w:val="24"/>
        </w:rPr>
        <w:fldChar w:fldCharType="begin"/>
      </w:r>
      <w:r w:rsidRPr="00F23893">
        <w:rPr>
          <w:rFonts w:ascii="Times New Roman" w:hAnsi="Times New Roman" w:cs="Times New Roman"/>
          <w:sz w:val="24"/>
          <w:szCs w:val="24"/>
        </w:rPr>
        <w:instrText xml:space="preserve"> BIBLIOGRAPHY  \l 1033 </w:instrText>
      </w:r>
      <w:r w:rsidRPr="00F23893">
        <w:rPr>
          <w:rFonts w:ascii="Times New Roman" w:hAnsi="Times New Roman" w:cs="Times New Roman"/>
          <w:sz w:val="24"/>
          <w:szCs w:val="24"/>
        </w:rPr>
        <w:fldChar w:fldCharType="separate"/>
      </w:r>
      <w:r w:rsidRPr="00F23893">
        <w:rPr>
          <w:rFonts w:ascii="Times New Roman" w:hAnsi="Times New Roman" w:cs="Times New Roman"/>
          <w:noProof/>
          <w:sz w:val="24"/>
          <w:szCs w:val="24"/>
        </w:rPr>
        <w:t xml:space="preserve">Polhill, John C. </w:t>
      </w:r>
      <w:r w:rsidRPr="00F23893">
        <w:rPr>
          <w:rFonts w:ascii="Times New Roman" w:hAnsi="Times New Roman" w:cs="Times New Roman"/>
          <w:i/>
          <w:iCs/>
          <w:noProof/>
          <w:sz w:val="24"/>
          <w:szCs w:val="24"/>
        </w:rPr>
        <w:t>The New American Comentary: Acts.</w:t>
      </w:r>
      <w:r w:rsidRPr="00F23893">
        <w:rPr>
          <w:rFonts w:ascii="Times New Roman" w:hAnsi="Times New Roman" w:cs="Times New Roman"/>
          <w:noProof/>
          <w:sz w:val="24"/>
          <w:szCs w:val="24"/>
        </w:rPr>
        <w:t xml:space="preserve"> Vol. 26. (Nashville: B&amp;H Publishing Group), 1992.</w:t>
      </w:r>
      <w:r w:rsidRPr="00F23893">
        <w:rPr>
          <w:rFonts w:ascii="Times New Roman" w:hAnsi="Times New Roman" w:cs="Times New Roman"/>
          <w:sz w:val="24"/>
          <w:szCs w:val="24"/>
        </w:rPr>
        <w:fldChar w:fldCharType="end"/>
      </w:r>
    </w:p>
    <w:p w:rsidR="00E2677D" w:rsidRPr="00F23893" w:rsidRDefault="00E2677D" w:rsidP="00A823AE">
      <w:pPr>
        <w:ind w:left="720" w:hanging="720"/>
        <w:contextualSpacing/>
        <w:rPr>
          <w:b/>
          <w:bCs/>
        </w:rPr>
      </w:pPr>
      <w:r w:rsidRPr="00F23893">
        <w:rPr>
          <w:rStyle w:val="medium-font"/>
        </w:rPr>
        <w:t xml:space="preserve">Utley, Bob. “Luke the Historian: Acts.” </w:t>
      </w:r>
      <w:r w:rsidRPr="00F23893">
        <w:rPr>
          <w:rStyle w:val="medium-font"/>
          <w:i/>
        </w:rPr>
        <w:t>The Study Bible Commentary Series, New Testament</w:t>
      </w:r>
      <w:r w:rsidRPr="00F23893">
        <w:rPr>
          <w:rStyle w:val="medium-font"/>
        </w:rPr>
        <w:t xml:space="preserve">, 3B. (November 2012) </w:t>
      </w:r>
      <w:hyperlink r:id="rId8" w:history="1">
        <w:r w:rsidRPr="00F23893">
          <w:rPr>
            <w:rStyle w:val="Hyperlink"/>
            <w:color w:val="auto"/>
          </w:rPr>
          <w:t>https://bible.org/seriespage/luke-historian-acts</w:t>
        </w:r>
      </w:hyperlink>
      <w:r w:rsidRPr="00F23893">
        <w:rPr>
          <w:rStyle w:val="medium-font"/>
        </w:rPr>
        <w:t>.</w:t>
      </w:r>
    </w:p>
    <w:sectPr w:rsidR="00E2677D" w:rsidRPr="00F23893" w:rsidSect="001A157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C46" w:rsidRDefault="005F3C46" w:rsidP="005F3C46">
      <w:pPr>
        <w:spacing w:after="0" w:line="240" w:lineRule="auto"/>
      </w:pPr>
      <w:r>
        <w:separator/>
      </w:r>
    </w:p>
  </w:endnote>
  <w:endnote w:type="continuationSeparator" w:id="1">
    <w:p w:rsidR="005F3C46" w:rsidRDefault="005F3C46" w:rsidP="005F3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C46" w:rsidRDefault="005F3C46" w:rsidP="005F3C46">
      <w:pPr>
        <w:spacing w:after="0" w:line="240" w:lineRule="auto"/>
      </w:pPr>
      <w:r>
        <w:separator/>
      </w:r>
    </w:p>
  </w:footnote>
  <w:footnote w:type="continuationSeparator" w:id="1">
    <w:p w:rsidR="005F3C46" w:rsidRDefault="005F3C46" w:rsidP="005F3C46">
      <w:pPr>
        <w:spacing w:after="0" w:line="240" w:lineRule="auto"/>
      </w:pPr>
      <w:r>
        <w:continuationSeparator/>
      </w:r>
    </w:p>
  </w:footnote>
  <w:footnote w:id="2">
    <w:p w:rsidR="00F940AD" w:rsidRPr="00140F67" w:rsidRDefault="00F940AD" w:rsidP="0051737C">
      <w:pPr>
        <w:ind w:left="720" w:hanging="720"/>
        <w:rPr>
          <w:sz w:val="20"/>
          <w:szCs w:val="20"/>
        </w:rPr>
      </w:pPr>
      <w:r w:rsidRPr="00140F67">
        <w:rPr>
          <w:rStyle w:val="FootnoteReference"/>
        </w:rPr>
        <w:footnoteRef/>
      </w:r>
      <w:r w:rsidRPr="00140F67">
        <w:t xml:space="preserve"> </w:t>
      </w:r>
      <w:r w:rsidRPr="00140F67">
        <w:rPr>
          <w:sz w:val="20"/>
          <w:szCs w:val="20"/>
        </w:rPr>
        <w:t xml:space="preserve">Julia Ching. “No Other Name.” </w:t>
      </w:r>
      <w:r w:rsidRPr="00140F67">
        <w:rPr>
          <w:i/>
          <w:iCs/>
          <w:sz w:val="20"/>
          <w:szCs w:val="20"/>
        </w:rPr>
        <w:t>Japanese Journal of Religious Studies</w:t>
      </w:r>
      <w:r w:rsidRPr="00140F67">
        <w:rPr>
          <w:sz w:val="20"/>
          <w:szCs w:val="20"/>
        </w:rPr>
        <w:t xml:space="preserve"> 12, no. 2–3 (June 1985): 256.</w:t>
      </w:r>
    </w:p>
  </w:footnote>
  <w:footnote w:id="3">
    <w:p w:rsidR="0051737C" w:rsidRPr="00140F67" w:rsidRDefault="0051737C">
      <w:pPr>
        <w:pStyle w:val="FootnoteText"/>
      </w:pPr>
      <w:r w:rsidRPr="00140F67">
        <w:rPr>
          <w:rStyle w:val="FootnoteReference"/>
        </w:rPr>
        <w:footnoteRef/>
      </w:r>
      <w:r w:rsidRPr="00140F67">
        <w:t xml:space="preserve"> Ibid: 257</w:t>
      </w:r>
    </w:p>
  </w:footnote>
  <w:footnote w:id="4">
    <w:p w:rsidR="00F86643" w:rsidRPr="00140F67" w:rsidRDefault="00F86643">
      <w:pPr>
        <w:pStyle w:val="FootnoteText"/>
      </w:pPr>
      <w:r w:rsidRPr="00140F67">
        <w:rPr>
          <w:rStyle w:val="FootnoteReference"/>
        </w:rPr>
        <w:footnoteRef/>
      </w:r>
      <w:r w:rsidRPr="00140F67">
        <w:t xml:space="preserve"> Julia Ching. “No Other Name.” </w:t>
      </w:r>
      <w:r w:rsidRPr="00140F67">
        <w:rPr>
          <w:i/>
          <w:iCs/>
        </w:rPr>
        <w:t>Japanese Journal of Religious Studies</w:t>
      </w:r>
      <w:r w:rsidRPr="00140F67">
        <w:t xml:space="preserve"> 12, no. 2–3 (June 1985): 258.</w:t>
      </w:r>
    </w:p>
  </w:footnote>
  <w:footnote w:id="5">
    <w:p w:rsidR="00D93721" w:rsidRPr="00140F67" w:rsidRDefault="00D93721" w:rsidP="00D93721">
      <w:pPr>
        <w:ind w:left="720" w:hanging="720"/>
        <w:rPr>
          <w:b/>
          <w:bCs/>
          <w:sz w:val="20"/>
          <w:szCs w:val="20"/>
        </w:rPr>
      </w:pPr>
      <w:r w:rsidRPr="00140F67">
        <w:rPr>
          <w:rStyle w:val="FootnoteReference"/>
        </w:rPr>
        <w:footnoteRef/>
      </w:r>
      <w:r w:rsidRPr="00140F67">
        <w:t xml:space="preserve"> </w:t>
      </w:r>
      <w:r w:rsidRPr="00140F67">
        <w:rPr>
          <w:rStyle w:val="medium-font"/>
          <w:sz w:val="20"/>
          <w:szCs w:val="20"/>
        </w:rPr>
        <w:t xml:space="preserve">Bob Utley. “Luke the Historian: Acts.” </w:t>
      </w:r>
      <w:r w:rsidRPr="00140F67">
        <w:rPr>
          <w:rStyle w:val="medium-font"/>
          <w:i/>
          <w:sz w:val="20"/>
          <w:szCs w:val="20"/>
        </w:rPr>
        <w:t>The Study Bible Commentary Series, New Testament</w:t>
      </w:r>
      <w:r w:rsidRPr="00140F67">
        <w:rPr>
          <w:rStyle w:val="medium-font"/>
          <w:sz w:val="20"/>
          <w:szCs w:val="20"/>
        </w:rPr>
        <w:t xml:space="preserve">, 3B. (November 2012) </w:t>
      </w:r>
      <w:hyperlink r:id="rId1" w:history="1">
        <w:r w:rsidRPr="00140F67">
          <w:rPr>
            <w:rStyle w:val="Hyperlink"/>
            <w:color w:val="auto"/>
            <w:sz w:val="20"/>
            <w:szCs w:val="20"/>
          </w:rPr>
          <w:t>https://bible.org/seriespage/luke-historian-acts</w:t>
        </w:r>
      </w:hyperlink>
      <w:r w:rsidRPr="00140F67">
        <w:rPr>
          <w:rStyle w:val="medium-font"/>
          <w:sz w:val="20"/>
          <w:szCs w:val="20"/>
        </w:rPr>
        <w:t>.</w:t>
      </w:r>
    </w:p>
    <w:p w:rsidR="00D93721" w:rsidRPr="00140F67" w:rsidRDefault="00D93721">
      <w:pPr>
        <w:pStyle w:val="FootnoteText"/>
      </w:pPr>
    </w:p>
  </w:footnote>
  <w:footnote w:id="6">
    <w:p w:rsidR="00701341" w:rsidRPr="00140F67" w:rsidRDefault="00701341" w:rsidP="00EC3D70">
      <w:pPr>
        <w:ind w:left="720" w:hanging="720"/>
        <w:rPr>
          <w:b/>
          <w:bCs/>
          <w:sz w:val="20"/>
          <w:szCs w:val="20"/>
        </w:rPr>
      </w:pPr>
      <w:r w:rsidRPr="00140F67">
        <w:rPr>
          <w:rStyle w:val="FootnoteReference"/>
        </w:rPr>
        <w:footnoteRef/>
      </w:r>
      <w:r w:rsidRPr="00140F67">
        <w:t xml:space="preserve"> </w:t>
      </w:r>
      <w:r w:rsidRPr="00140F67">
        <w:rPr>
          <w:rStyle w:val="medium-font"/>
          <w:sz w:val="20"/>
          <w:szCs w:val="20"/>
        </w:rPr>
        <w:t xml:space="preserve">Bob Utley. “Luke the Historian: Acts.” </w:t>
      </w:r>
      <w:r w:rsidRPr="00140F67">
        <w:rPr>
          <w:rStyle w:val="medium-font"/>
          <w:i/>
          <w:sz w:val="20"/>
          <w:szCs w:val="20"/>
        </w:rPr>
        <w:t>The Study Bible Commentary Series, New Testament</w:t>
      </w:r>
      <w:r w:rsidRPr="00140F67">
        <w:rPr>
          <w:rStyle w:val="medium-font"/>
          <w:sz w:val="20"/>
          <w:szCs w:val="20"/>
        </w:rPr>
        <w:t xml:space="preserve">, 3B. (November 2012) </w:t>
      </w:r>
      <w:hyperlink r:id="rId2" w:history="1">
        <w:r w:rsidRPr="00140F67">
          <w:rPr>
            <w:rStyle w:val="Hyperlink"/>
            <w:color w:val="auto"/>
            <w:sz w:val="20"/>
            <w:szCs w:val="20"/>
          </w:rPr>
          <w:t>https://bible.org/seriespage/luke-historian-acts</w:t>
        </w:r>
      </w:hyperlink>
      <w:r w:rsidRPr="00140F67">
        <w:rPr>
          <w:rStyle w:val="medium-font"/>
          <w:sz w:val="20"/>
          <w:szCs w:val="20"/>
        </w:rPr>
        <w:t>.</w:t>
      </w:r>
    </w:p>
  </w:footnote>
  <w:footnote w:id="7">
    <w:p w:rsidR="00EC3D70" w:rsidRPr="00140F67" w:rsidRDefault="00EC3D70" w:rsidP="00B66776">
      <w:pPr>
        <w:ind w:left="720" w:hanging="720"/>
      </w:pPr>
      <w:r w:rsidRPr="00140F67">
        <w:rPr>
          <w:rStyle w:val="FootnoteReference"/>
        </w:rPr>
        <w:footnoteRef/>
      </w:r>
      <w:r w:rsidRPr="00140F67">
        <w:t xml:space="preserve"> </w:t>
      </w:r>
      <w:r w:rsidRPr="00140F67">
        <w:rPr>
          <w:sz w:val="20"/>
          <w:szCs w:val="20"/>
        </w:rPr>
        <w:t xml:space="preserve">Allan Aubrey Boesak. “In the Name of Jesus: Acts 4:12.” </w:t>
      </w:r>
      <w:r w:rsidRPr="00140F67">
        <w:rPr>
          <w:i/>
          <w:iCs/>
          <w:sz w:val="20"/>
          <w:szCs w:val="20"/>
        </w:rPr>
        <w:t>Journal of Theology for Southern Africa</w:t>
      </w:r>
      <w:r w:rsidR="00B11442" w:rsidRPr="00140F67">
        <w:rPr>
          <w:sz w:val="20"/>
          <w:szCs w:val="20"/>
        </w:rPr>
        <w:t xml:space="preserve"> 52 (September 1985): 49</w:t>
      </w:r>
      <w:r w:rsidRPr="00140F67">
        <w:rPr>
          <w:sz w:val="20"/>
          <w:szCs w:val="20"/>
        </w:rPr>
        <w:t>.</w:t>
      </w:r>
    </w:p>
  </w:footnote>
  <w:footnote w:id="8">
    <w:p w:rsidR="00B66776" w:rsidRPr="00140F67" w:rsidRDefault="00B66776" w:rsidP="00B66776">
      <w:pPr>
        <w:ind w:left="720" w:hanging="720"/>
        <w:rPr>
          <w:rStyle w:val="medium-font"/>
          <w:sz w:val="20"/>
          <w:szCs w:val="20"/>
        </w:rPr>
      </w:pPr>
      <w:r w:rsidRPr="00140F67">
        <w:rPr>
          <w:rStyle w:val="FootnoteReference"/>
        </w:rPr>
        <w:footnoteRef/>
      </w:r>
      <w:r w:rsidRPr="00140F67">
        <w:t xml:space="preserve"> </w:t>
      </w:r>
      <w:r w:rsidRPr="00140F67">
        <w:rPr>
          <w:sz w:val="20"/>
          <w:szCs w:val="20"/>
        </w:rPr>
        <w:t xml:space="preserve">Thomas  Constable. “Notes on Acts.” </w:t>
      </w:r>
      <w:r w:rsidRPr="00140F67">
        <w:rPr>
          <w:i/>
          <w:sz w:val="20"/>
          <w:szCs w:val="20"/>
        </w:rPr>
        <w:t>Dr. Constable’s Expository Notes</w:t>
      </w:r>
      <w:r w:rsidRPr="00140F67">
        <w:rPr>
          <w:sz w:val="20"/>
          <w:szCs w:val="20"/>
        </w:rPr>
        <w:t xml:space="preserve">. (2014). </w:t>
      </w:r>
      <w:hyperlink r:id="rId3" w:history="1">
        <w:r w:rsidRPr="00140F67">
          <w:rPr>
            <w:rStyle w:val="Hyperlink"/>
            <w:color w:val="auto"/>
            <w:sz w:val="20"/>
            <w:szCs w:val="20"/>
          </w:rPr>
          <w:t>http://www.soniclight.com/constable/notes/pdf/acts.pdf</w:t>
        </w:r>
      </w:hyperlink>
      <w:r w:rsidRPr="00140F67">
        <w:rPr>
          <w:sz w:val="20"/>
          <w:szCs w:val="20"/>
        </w:rPr>
        <w:t>.</w:t>
      </w:r>
    </w:p>
    <w:p w:rsidR="00B66776" w:rsidRPr="00140F67" w:rsidRDefault="00B66776">
      <w:pPr>
        <w:pStyle w:val="FootnoteText"/>
      </w:pPr>
    </w:p>
  </w:footnote>
  <w:footnote w:id="9">
    <w:p w:rsidR="006E26A4" w:rsidRPr="00140F67" w:rsidRDefault="006E26A4" w:rsidP="00D000FB">
      <w:pPr>
        <w:ind w:left="720" w:hanging="720"/>
        <w:rPr>
          <w:sz w:val="20"/>
          <w:szCs w:val="20"/>
        </w:rPr>
      </w:pPr>
      <w:r w:rsidRPr="00140F67">
        <w:rPr>
          <w:rStyle w:val="FootnoteReference"/>
        </w:rPr>
        <w:footnoteRef/>
      </w:r>
      <w:r w:rsidRPr="00140F67">
        <w:t xml:space="preserve"> </w:t>
      </w:r>
      <w:r w:rsidRPr="00140F67">
        <w:rPr>
          <w:sz w:val="20"/>
          <w:szCs w:val="20"/>
        </w:rPr>
        <w:t xml:space="preserve">Thomas  Constable. “Notes on Acts.” </w:t>
      </w:r>
      <w:r w:rsidRPr="00140F67">
        <w:rPr>
          <w:i/>
          <w:sz w:val="20"/>
          <w:szCs w:val="20"/>
        </w:rPr>
        <w:t>Dr. Constable’s Expository Notes</w:t>
      </w:r>
      <w:r w:rsidRPr="00140F67">
        <w:rPr>
          <w:sz w:val="20"/>
          <w:szCs w:val="20"/>
        </w:rPr>
        <w:t xml:space="preserve">. (2014). </w:t>
      </w:r>
      <w:hyperlink r:id="rId4" w:history="1">
        <w:r w:rsidRPr="00140F67">
          <w:rPr>
            <w:rStyle w:val="Hyperlink"/>
            <w:color w:val="auto"/>
            <w:sz w:val="20"/>
            <w:szCs w:val="20"/>
          </w:rPr>
          <w:t>http://www.soniclight.com/constable/notes/pdf/acts.pdf</w:t>
        </w:r>
      </w:hyperlink>
      <w:r w:rsidRPr="00140F67">
        <w:rPr>
          <w:sz w:val="20"/>
          <w:szCs w:val="20"/>
        </w:rPr>
        <w:t>.</w:t>
      </w:r>
    </w:p>
  </w:footnote>
  <w:footnote w:id="10">
    <w:p w:rsidR="00D000FB" w:rsidRPr="00140F67" w:rsidRDefault="00D000FB" w:rsidP="00D000FB">
      <w:pPr>
        <w:ind w:left="720" w:hanging="720"/>
        <w:rPr>
          <w:rStyle w:val="medium-font"/>
        </w:rPr>
      </w:pPr>
      <w:r w:rsidRPr="00140F67">
        <w:rPr>
          <w:rStyle w:val="FootnoteReference"/>
        </w:rPr>
        <w:footnoteRef/>
      </w:r>
      <w:r w:rsidRPr="00140F67">
        <w:t xml:space="preserve"> </w:t>
      </w:r>
      <w:r w:rsidRPr="00140F67">
        <w:rPr>
          <w:rStyle w:val="medium-font"/>
          <w:sz w:val="20"/>
          <w:szCs w:val="20"/>
        </w:rPr>
        <w:t>Culpepper, Hugo H. “</w:t>
      </w:r>
      <w:r w:rsidRPr="00140F67">
        <w:rPr>
          <w:rStyle w:val="title-link-wrapper"/>
          <w:sz w:val="20"/>
          <w:szCs w:val="20"/>
        </w:rPr>
        <w:t>Acts 4:12.</w:t>
      </w:r>
      <w:r w:rsidRPr="00140F67">
        <w:rPr>
          <w:sz w:val="20"/>
          <w:szCs w:val="20"/>
        </w:rPr>
        <w:t xml:space="preserve">” </w:t>
      </w:r>
      <w:r w:rsidRPr="00140F67">
        <w:rPr>
          <w:rStyle w:val="medium-font"/>
          <w:i/>
          <w:iCs/>
          <w:sz w:val="20"/>
          <w:szCs w:val="20"/>
        </w:rPr>
        <w:t>Review &amp; Expositor</w:t>
      </w:r>
      <w:r w:rsidRPr="00140F67">
        <w:rPr>
          <w:rStyle w:val="medium-font"/>
          <w:sz w:val="20"/>
          <w:szCs w:val="20"/>
        </w:rPr>
        <w:t xml:space="preserve"> 89, no. 1 (December 1992): 86.</w:t>
      </w:r>
    </w:p>
    <w:p w:rsidR="00D000FB" w:rsidRPr="00140F67" w:rsidRDefault="00D000FB">
      <w:pPr>
        <w:pStyle w:val="FootnoteText"/>
      </w:pPr>
    </w:p>
  </w:footnote>
  <w:footnote w:id="11">
    <w:p w:rsidR="00C82394" w:rsidRPr="00140F67" w:rsidRDefault="00C82394" w:rsidP="00C82394">
      <w:pPr>
        <w:pStyle w:val="Bibliography"/>
        <w:ind w:left="720" w:hanging="720"/>
        <w:rPr>
          <w:rFonts w:ascii="Times New Roman" w:hAnsi="Times New Roman" w:cs="Times New Roman"/>
          <w:sz w:val="20"/>
          <w:szCs w:val="20"/>
        </w:rPr>
      </w:pPr>
      <w:r w:rsidRPr="00140F67">
        <w:rPr>
          <w:rStyle w:val="FootnoteReference"/>
        </w:rPr>
        <w:footnoteRef/>
      </w:r>
      <w:r w:rsidRPr="00140F67">
        <w:t xml:space="preserve"> </w:t>
      </w:r>
      <w:r w:rsidRPr="00140F67">
        <w:rPr>
          <w:rFonts w:ascii="Times New Roman" w:hAnsi="Times New Roman" w:cs="Times New Roman"/>
          <w:sz w:val="20"/>
          <w:szCs w:val="20"/>
        </w:rPr>
        <w:fldChar w:fldCharType="begin"/>
      </w:r>
      <w:r w:rsidRPr="00140F67">
        <w:rPr>
          <w:rFonts w:ascii="Times New Roman" w:hAnsi="Times New Roman" w:cs="Times New Roman"/>
          <w:sz w:val="20"/>
          <w:szCs w:val="20"/>
        </w:rPr>
        <w:instrText xml:space="preserve"> BIBLIOGRAPHY  \l 1033 </w:instrText>
      </w:r>
      <w:r w:rsidRPr="00140F67">
        <w:rPr>
          <w:rFonts w:ascii="Times New Roman" w:hAnsi="Times New Roman" w:cs="Times New Roman"/>
          <w:sz w:val="20"/>
          <w:szCs w:val="20"/>
        </w:rPr>
        <w:fldChar w:fldCharType="separate"/>
      </w:r>
      <w:r w:rsidRPr="00140F67">
        <w:rPr>
          <w:rFonts w:ascii="Times New Roman" w:hAnsi="Times New Roman" w:cs="Times New Roman"/>
          <w:noProof/>
          <w:sz w:val="20"/>
          <w:szCs w:val="20"/>
        </w:rPr>
        <w:t xml:space="preserve">John  Polhill. </w:t>
      </w:r>
      <w:r w:rsidRPr="00140F67">
        <w:rPr>
          <w:rFonts w:ascii="Times New Roman" w:hAnsi="Times New Roman" w:cs="Times New Roman"/>
          <w:i/>
          <w:iCs/>
          <w:noProof/>
          <w:sz w:val="20"/>
          <w:szCs w:val="20"/>
        </w:rPr>
        <w:t>The New American Comentary: Acts.</w:t>
      </w:r>
      <w:r w:rsidRPr="00140F67">
        <w:rPr>
          <w:rFonts w:ascii="Times New Roman" w:hAnsi="Times New Roman" w:cs="Times New Roman"/>
          <w:noProof/>
          <w:sz w:val="20"/>
          <w:szCs w:val="20"/>
        </w:rPr>
        <w:t xml:space="preserve"> Vol. 26. (Nashville: B&amp;H Publishing Group), 1992.</w:t>
      </w:r>
      <w:r w:rsidRPr="00140F67">
        <w:rPr>
          <w:rFonts w:ascii="Times New Roman" w:hAnsi="Times New Roman" w:cs="Times New Roman"/>
          <w:sz w:val="20"/>
          <w:szCs w:val="20"/>
        </w:rPr>
        <w:fldChar w:fldCharType="end"/>
      </w:r>
    </w:p>
    <w:p w:rsidR="00C82394" w:rsidRPr="00140F67" w:rsidRDefault="00C82394">
      <w:pPr>
        <w:pStyle w:val="FootnoteText"/>
      </w:pPr>
    </w:p>
  </w:footnote>
  <w:footnote w:id="12">
    <w:p w:rsidR="000575AE" w:rsidRPr="00140F67" w:rsidRDefault="000575AE">
      <w:pPr>
        <w:pStyle w:val="FootnoteText"/>
      </w:pPr>
      <w:r w:rsidRPr="00140F67">
        <w:rPr>
          <w:rStyle w:val="FootnoteReference"/>
        </w:rPr>
        <w:footnoteRef/>
      </w:r>
      <w:r w:rsidRPr="00140F67">
        <w:t xml:space="preserve"> Ibi</w:t>
      </w:r>
      <w:r w:rsidR="00735146" w:rsidRPr="00140F67">
        <w:t>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460592"/>
      <w:docPartObj>
        <w:docPartGallery w:val="Page Numbers (Top of Page)"/>
        <w:docPartUnique/>
      </w:docPartObj>
    </w:sdtPr>
    <w:sdtContent>
      <w:p w:rsidR="005F3C46" w:rsidRDefault="005F3C46" w:rsidP="005F3C46">
        <w:pPr>
          <w:pStyle w:val="Header"/>
          <w:jc w:val="right"/>
        </w:pPr>
        <w:fldSimple w:instr=" PAGE   \* MERGEFORMAT ">
          <w:r w:rsidR="009D2531">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C0A1C"/>
    <w:rsid w:val="000575AE"/>
    <w:rsid w:val="00090B1E"/>
    <w:rsid w:val="00097725"/>
    <w:rsid w:val="000C2823"/>
    <w:rsid w:val="000D07D3"/>
    <w:rsid w:val="000D5996"/>
    <w:rsid w:val="0011196C"/>
    <w:rsid w:val="00140F67"/>
    <w:rsid w:val="00152519"/>
    <w:rsid w:val="0017321F"/>
    <w:rsid w:val="001A1573"/>
    <w:rsid w:val="001E66ED"/>
    <w:rsid w:val="001F682D"/>
    <w:rsid w:val="002166BE"/>
    <w:rsid w:val="00251585"/>
    <w:rsid w:val="002A4085"/>
    <w:rsid w:val="002C38AD"/>
    <w:rsid w:val="002C60A3"/>
    <w:rsid w:val="00311BD4"/>
    <w:rsid w:val="003236A8"/>
    <w:rsid w:val="003247F7"/>
    <w:rsid w:val="00332847"/>
    <w:rsid w:val="003629A4"/>
    <w:rsid w:val="003709F0"/>
    <w:rsid w:val="00397E20"/>
    <w:rsid w:val="003A5BE6"/>
    <w:rsid w:val="003E28E0"/>
    <w:rsid w:val="003E4072"/>
    <w:rsid w:val="003E6C9A"/>
    <w:rsid w:val="003F2D7B"/>
    <w:rsid w:val="003F4D2E"/>
    <w:rsid w:val="0041625E"/>
    <w:rsid w:val="00427630"/>
    <w:rsid w:val="0044001A"/>
    <w:rsid w:val="00454791"/>
    <w:rsid w:val="004558C4"/>
    <w:rsid w:val="00470776"/>
    <w:rsid w:val="0047532B"/>
    <w:rsid w:val="004A7D43"/>
    <w:rsid w:val="004C07D5"/>
    <w:rsid w:val="004F287A"/>
    <w:rsid w:val="004F3913"/>
    <w:rsid w:val="004F6688"/>
    <w:rsid w:val="00504F54"/>
    <w:rsid w:val="00516CF4"/>
    <w:rsid w:val="0051737C"/>
    <w:rsid w:val="00524002"/>
    <w:rsid w:val="005317CC"/>
    <w:rsid w:val="00570D88"/>
    <w:rsid w:val="00572B90"/>
    <w:rsid w:val="00573C5C"/>
    <w:rsid w:val="00576CBF"/>
    <w:rsid w:val="005A1DF5"/>
    <w:rsid w:val="005C03D0"/>
    <w:rsid w:val="005F3C46"/>
    <w:rsid w:val="00605CE2"/>
    <w:rsid w:val="0063020E"/>
    <w:rsid w:val="006A5ED5"/>
    <w:rsid w:val="006B435C"/>
    <w:rsid w:val="006B54E7"/>
    <w:rsid w:val="006B64BB"/>
    <w:rsid w:val="006C4CD8"/>
    <w:rsid w:val="006E12BF"/>
    <w:rsid w:val="006E26A4"/>
    <w:rsid w:val="00701341"/>
    <w:rsid w:val="00713CB5"/>
    <w:rsid w:val="00716D0D"/>
    <w:rsid w:val="00735146"/>
    <w:rsid w:val="00746915"/>
    <w:rsid w:val="00775CAE"/>
    <w:rsid w:val="00791085"/>
    <w:rsid w:val="00795F03"/>
    <w:rsid w:val="007B4E5D"/>
    <w:rsid w:val="007C135F"/>
    <w:rsid w:val="007C270E"/>
    <w:rsid w:val="007D4A05"/>
    <w:rsid w:val="00824749"/>
    <w:rsid w:val="00831FF3"/>
    <w:rsid w:val="008465A4"/>
    <w:rsid w:val="008642BE"/>
    <w:rsid w:val="00886885"/>
    <w:rsid w:val="008A05E5"/>
    <w:rsid w:val="008A5849"/>
    <w:rsid w:val="008B756C"/>
    <w:rsid w:val="009134C0"/>
    <w:rsid w:val="00920D4A"/>
    <w:rsid w:val="00933711"/>
    <w:rsid w:val="00952674"/>
    <w:rsid w:val="00986D29"/>
    <w:rsid w:val="00992B82"/>
    <w:rsid w:val="009B0679"/>
    <w:rsid w:val="009B6768"/>
    <w:rsid w:val="009B6860"/>
    <w:rsid w:val="009D2531"/>
    <w:rsid w:val="009E27DE"/>
    <w:rsid w:val="00A40EBA"/>
    <w:rsid w:val="00A64ABB"/>
    <w:rsid w:val="00A714BD"/>
    <w:rsid w:val="00A823AE"/>
    <w:rsid w:val="00AB5BF4"/>
    <w:rsid w:val="00B11442"/>
    <w:rsid w:val="00B132F0"/>
    <w:rsid w:val="00B44A7D"/>
    <w:rsid w:val="00B52C50"/>
    <w:rsid w:val="00B52DEF"/>
    <w:rsid w:val="00B66776"/>
    <w:rsid w:val="00B72B55"/>
    <w:rsid w:val="00B943C1"/>
    <w:rsid w:val="00BA45E6"/>
    <w:rsid w:val="00BB55CD"/>
    <w:rsid w:val="00BC0A1C"/>
    <w:rsid w:val="00BE2731"/>
    <w:rsid w:val="00C1146B"/>
    <w:rsid w:val="00C2486F"/>
    <w:rsid w:val="00C27826"/>
    <w:rsid w:val="00C44D54"/>
    <w:rsid w:val="00C82394"/>
    <w:rsid w:val="00C9175C"/>
    <w:rsid w:val="00CB68D0"/>
    <w:rsid w:val="00CD3198"/>
    <w:rsid w:val="00CE6958"/>
    <w:rsid w:val="00D000FB"/>
    <w:rsid w:val="00D244B6"/>
    <w:rsid w:val="00D35B34"/>
    <w:rsid w:val="00D4080D"/>
    <w:rsid w:val="00D41779"/>
    <w:rsid w:val="00D93721"/>
    <w:rsid w:val="00D95287"/>
    <w:rsid w:val="00DA1548"/>
    <w:rsid w:val="00DD33BC"/>
    <w:rsid w:val="00DE5BA6"/>
    <w:rsid w:val="00DE5BD0"/>
    <w:rsid w:val="00E05E14"/>
    <w:rsid w:val="00E2677D"/>
    <w:rsid w:val="00E5362F"/>
    <w:rsid w:val="00E92031"/>
    <w:rsid w:val="00EA29ED"/>
    <w:rsid w:val="00EC3D70"/>
    <w:rsid w:val="00ED76F8"/>
    <w:rsid w:val="00EE7D93"/>
    <w:rsid w:val="00EF00D4"/>
    <w:rsid w:val="00F005E0"/>
    <w:rsid w:val="00F204CA"/>
    <w:rsid w:val="00F23893"/>
    <w:rsid w:val="00F86241"/>
    <w:rsid w:val="00F86643"/>
    <w:rsid w:val="00F905FB"/>
    <w:rsid w:val="00F940AD"/>
    <w:rsid w:val="00FA490C"/>
    <w:rsid w:val="00FC7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46"/>
  </w:style>
  <w:style w:type="paragraph" w:styleId="Footer">
    <w:name w:val="footer"/>
    <w:basedOn w:val="Normal"/>
    <w:link w:val="FooterChar"/>
    <w:uiPriority w:val="99"/>
    <w:semiHidden/>
    <w:unhideWhenUsed/>
    <w:rsid w:val="005F3C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3C46"/>
  </w:style>
  <w:style w:type="character" w:styleId="Hyperlink">
    <w:name w:val="Hyperlink"/>
    <w:basedOn w:val="DefaultParagraphFont"/>
    <w:uiPriority w:val="99"/>
    <w:unhideWhenUsed/>
    <w:rsid w:val="007D4A05"/>
    <w:rPr>
      <w:color w:val="0000FF"/>
      <w:u w:val="single"/>
    </w:rPr>
  </w:style>
  <w:style w:type="character" w:customStyle="1" w:styleId="title-link-wrapper">
    <w:name w:val="title-link-wrapper"/>
    <w:basedOn w:val="DefaultParagraphFont"/>
    <w:rsid w:val="007D4A05"/>
  </w:style>
  <w:style w:type="character" w:customStyle="1" w:styleId="medium-font">
    <w:name w:val="medium-font"/>
    <w:basedOn w:val="DefaultParagraphFont"/>
    <w:rsid w:val="007D4A05"/>
  </w:style>
  <w:style w:type="paragraph" w:styleId="Bibliography">
    <w:name w:val="Bibliography"/>
    <w:basedOn w:val="Normal"/>
    <w:next w:val="Normal"/>
    <w:uiPriority w:val="37"/>
    <w:unhideWhenUsed/>
    <w:rsid w:val="007D4A05"/>
    <w:pPr>
      <w:spacing w:after="0" w:line="240" w:lineRule="auto"/>
    </w:pPr>
    <w:rPr>
      <w:rFonts w:ascii="Calibri" w:hAnsi="Calibri" w:cs="Calibri"/>
      <w:sz w:val="22"/>
      <w:szCs w:val="22"/>
    </w:rPr>
  </w:style>
  <w:style w:type="paragraph" w:styleId="FootnoteText">
    <w:name w:val="footnote text"/>
    <w:basedOn w:val="Normal"/>
    <w:link w:val="FootnoteTextChar"/>
    <w:uiPriority w:val="99"/>
    <w:semiHidden/>
    <w:unhideWhenUsed/>
    <w:rsid w:val="00F940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0AD"/>
    <w:rPr>
      <w:sz w:val="20"/>
      <w:szCs w:val="20"/>
    </w:rPr>
  </w:style>
  <w:style w:type="character" w:styleId="FootnoteReference">
    <w:name w:val="footnote reference"/>
    <w:basedOn w:val="DefaultParagraphFont"/>
    <w:uiPriority w:val="99"/>
    <w:semiHidden/>
    <w:unhideWhenUsed/>
    <w:rsid w:val="00F940A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e.org/seriespage/luke-historian-acts" TargetMode="External"/><Relationship Id="rId3" Type="http://schemas.openxmlformats.org/officeDocument/2006/relationships/settings" Target="settings.xml"/><Relationship Id="rId7" Type="http://schemas.openxmlformats.org/officeDocument/2006/relationships/hyperlink" Target="http://www.soniclight.com/constable/notes/pdf/act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soniclight.com/constable/notes/pdf/acts.pdf" TargetMode="External"/><Relationship Id="rId2" Type="http://schemas.openxmlformats.org/officeDocument/2006/relationships/hyperlink" Target="https://bible.org/seriespage/luke-historian-acts" TargetMode="External"/><Relationship Id="rId1" Type="http://schemas.openxmlformats.org/officeDocument/2006/relationships/hyperlink" Target="https://bible.org/seriespage/luke-historian-acts" TargetMode="External"/><Relationship Id="rId4" Type="http://schemas.openxmlformats.org/officeDocument/2006/relationships/hyperlink" Target="http://www.soniclight.com/constable/notes/pdf/a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Pol92</b:Tag>
    <b:SourceType>Book</b:SourceType>
    <b:Guid>{87B6DE80-939D-4F89-BE76-8ACBA80EA265}</b:Guid>
    <b:LCID>0</b:LCID>
    <b:Author>
      <b:Author>
        <b:NameList>
          <b:Person>
            <b:Last>Polhill</b:Last>
            <b:First>John</b:First>
            <b:Middle>C.</b:Middle>
          </b:Person>
        </b:NameList>
      </b:Author>
    </b:Author>
    <b:Title>The New American Comentary: Acts</b:Title>
    <b:Year>1992</b:Year>
    <b:City>Nashville</b:City>
    <b:Publisher>B&amp;H Publishing Group</b:Publisher>
    <b:Volume>26</b:Volume>
    <b:RefOrder>1</b:RefOrder>
  </b:Source>
</b:Sources>
</file>

<file path=customXml/itemProps1.xml><?xml version="1.0" encoding="utf-8"?>
<ds:datastoreItem xmlns:ds="http://schemas.openxmlformats.org/officeDocument/2006/customXml" ds:itemID="{E0FDEB77-23F1-4086-9960-13A97F302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1522</Words>
  <Characters>8676</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189</cp:revision>
  <dcterms:created xsi:type="dcterms:W3CDTF">2017-03-07T21:42:00Z</dcterms:created>
  <dcterms:modified xsi:type="dcterms:W3CDTF">2017-03-08T02:44:00Z</dcterms:modified>
</cp:coreProperties>
</file>