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6C" w:rsidRPr="001B27F8" w:rsidRDefault="00BC0A1C">
      <w:r w:rsidRPr="001B27F8">
        <w:t xml:space="preserve"> </w:t>
      </w:r>
    </w:p>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1196C" w:rsidRPr="001B27F8" w:rsidRDefault="0011196C"/>
    <w:p w:rsidR="001A1573" w:rsidRPr="001B27F8" w:rsidRDefault="00BC0A1C" w:rsidP="0011196C">
      <w:pPr>
        <w:jc w:val="center"/>
      </w:pPr>
      <w:r w:rsidRPr="001B27F8">
        <w:t>Religion and Theology</w:t>
      </w:r>
    </w:p>
    <w:p w:rsidR="0011196C" w:rsidRPr="001B27F8" w:rsidRDefault="0011196C"/>
    <w:p w:rsidR="0011196C" w:rsidRPr="001B27F8" w:rsidRDefault="0011196C"/>
    <w:p w:rsidR="0011196C" w:rsidRPr="001B27F8" w:rsidRDefault="0011196C"/>
    <w:p w:rsidR="0011196C" w:rsidRPr="001B27F8" w:rsidRDefault="00FA490C" w:rsidP="00FA490C">
      <w:pPr>
        <w:tabs>
          <w:tab w:val="left" w:pos="1130"/>
        </w:tabs>
      </w:pPr>
      <w:r w:rsidRPr="001B27F8">
        <w:tab/>
      </w:r>
    </w:p>
    <w:p w:rsidR="0011196C" w:rsidRPr="001B27F8" w:rsidRDefault="0011196C"/>
    <w:p w:rsidR="00A40EBA" w:rsidRPr="001B27F8" w:rsidRDefault="00A40EBA">
      <w:pPr>
        <w:rPr>
          <w:b/>
        </w:rPr>
      </w:pPr>
      <w:r w:rsidRPr="001B27F8">
        <w:rPr>
          <w:b/>
        </w:rPr>
        <w:lastRenderedPageBreak/>
        <w:t>Acts 4:12</w:t>
      </w:r>
    </w:p>
    <w:p w:rsidR="00A40EBA" w:rsidRPr="001B27F8" w:rsidRDefault="006E12BF" w:rsidP="00BB55CD">
      <w:pPr>
        <w:ind w:firstLine="720"/>
        <w:contextualSpacing/>
      </w:pPr>
      <w:r w:rsidRPr="001B27F8">
        <w:t>In Acts 4: 12, the Bible asserts that sa</w:t>
      </w:r>
      <w:r w:rsidR="00A82F5A" w:rsidRPr="001B27F8">
        <w:t>lvation is found in no one else</w:t>
      </w:r>
      <w:r w:rsidRPr="001B27F8">
        <w:t xml:space="preserve"> and that there is no other name under heaven by which people must be saved. Thus, it can be observed that in this passage, </w:t>
      </w:r>
      <w:r w:rsidR="0021772C" w:rsidRPr="001B27F8">
        <w:t xml:space="preserve">the </w:t>
      </w:r>
      <w:r w:rsidRPr="001B27F8">
        <w:t xml:space="preserve">emphasis is on </w:t>
      </w:r>
      <w:r w:rsidR="004F287A" w:rsidRPr="001B27F8">
        <w:t>the name by which people must be</w:t>
      </w:r>
      <w:r w:rsidR="0091666A" w:rsidRPr="001B27F8">
        <w:t xml:space="preserve"> saved and that the </w:t>
      </w:r>
      <w:r w:rsidR="002125FE" w:rsidRPr="001B27F8">
        <w:t>majestic</w:t>
      </w:r>
      <w:r w:rsidR="004F287A" w:rsidRPr="001B27F8">
        <w:t xml:space="preserve"> name is Jesus’. </w:t>
      </w:r>
      <w:r w:rsidR="001771FF" w:rsidRPr="001B27F8">
        <w:t xml:space="preserve">However, it is important to evaluate this verse by focusing on the major themes in the book of Acts. Acts is a major book highlighting </w:t>
      </w:r>
      <w:r w:rsidR="00520D64" w:rsidRPr="001B27F8">
        <w:t xml:space="preserve">crucial issues such as the reception of the Holy Spirit, fellowship, communion, and discipleship. </w:t>
      </w:r>
      <w:r w:rsidR="00ED27AA">
        <w:t xml:space="preserve">The book of </w:t>
      </w:r>
      <w:r w:rsidR="00A620C2" w:rsidRPr="001B27F8">
        <w:t xml:space="preserve">Acts provides information regarding the disciples and their activities and role in spreading the gospel after the ascension of Jesus Christ. </w:t>
      </w:r>
    </w:p>
    <w:p w:rsidR="001E07CE" w:rsidRPr="001B27F8" w:rsidRDefault="00DF2A9F" w:rsidP="00BB55CD">
      <w:pPr>
        <w:ind w:firstLine="720"/>
        <w:contextualSpacing/>
      </w:pPr>
      <w:r w:rsidRPr="001B27F8">
        <w:t>One of the major concepts in Acts regards the supremacy of the name of Jesus</w:t>
      </w:r>
      <w:r w:rsidR="00E73F39" w:rsidRPr="001B27F8">
        <w:t xml:space="preserve">, especially concerning salvation. Acts 4:12 asserts that only the name of Jesus Christ is powerful enough to save. </w:t>
      </w:r>
      <w:r w:rsidR="00103429">
        <w:t xml:space="preserve">The </w:t>
      </w:r>
      <w:r w:rsidR="00E73F39" w:rsidRPr="001B27F8">
        <w:t xml:space="preserve">Salvation promised to humankind </w:t>
      </w:r>
      <w:r w:rsidR="009C64B2">
        <w:t>was</w:t>
      </w:r>
      <w:r w:rsidR="00E73F39" w:rsidRPr="001B27F8">
        <w:t xml:space="preserve"> to be attained </w:t>
      </w:r>
      <w:r w:rsidR="00CD6197" w:rsidRPr="001B27F8">
        <w:t xml:space="preserve">only through the name of Jesus Christ. It is worth noting that Acts </w:t>
      </w:r>
      <w:r w:rsidR="000075E6" w:rsidRPr="001B27F8">
        <w:t xml:space="preserve">speaks about the apostles after the </w:t>
      </w:r>
      <w:r w:rsidR="00446D62" w:rsidRPr="001B27F8">
        <w:t>ascension</w:t>
      </w:r>
      <w:r w:rsidR="000075E6" w:rsidRPr="001B27F8">
        <w:t xml:space="preserve"> of Jesus Christ. </w:t>
      </w:r>
      <w:r w:rsidR="00446D62" w:rsidRPr="001B27F8">
        <w:t xml:space="preserve">Jesus Christ had overcome death, resurrected and had ascended into heaven. Therefore, there was every reason </w:t>
      </w:r>
      <w:r w:rsidR="00FB6A94" w:rsidRPr="001B27F8">
        <w:t xml:space="preserve">for Peter to assert of the power in Jesus Christ’s name, especially after having witnessed the </w:t>
      </w:r>
      <w:r w:rsidR="001E07CE" w:rsidRPr="001B27F8">
        <w:t xml:space="preserve">healing of the beggar. </w:t>
      </w:r>
    </w:p>
    <w:p w:rsidR="009E27DE" w:rsidRPr="001B27F8" w:rsidRDefault="00000659" w:rsidP="008B4FC0">
      <w:pPr>
        <w:ind w:firstLine="720"/>
        <w:contextualSpacing/>
      </w:pPr>
      <w:r w:rsidRPr="001B27F8">
        <w:t xml:space="preserve">Salvation is an important concept in Acts because all apostles’ activities </w:t>
      </w:r>
      <w:r w:rsidR="007A4B9D" w:rsidRPr="001B27F8">
        <w:t>are</w:t>
      </w:r>
      <w:r w:rsidRPr="001B27F8">
        <w:t xml:space="preserve"> related to it. The spreading of the gospel is intended to achieve salvation for humankind. </w:t>
      </w:r>
      <w:r w:rsidR="00150105" w:rsidRPr="001B27F8">
        <w:t>Salvation is expressed as the act of redemption and the granting of glory to followers (Culpepper</w:t>
      </w:r>
      <w:r w:rsidR="00FE5842" w:rsidRPr="001B27F8">
        <w:t>)</w:t>
      </w:r>
      <w:r w:rsidR="00150105" w:rsidRPr="001B27F8">
        <w:t>.</w:t>
      </w:r>
      <w:r w:rsidR="00150105" w:rsidRPr="001B27F8">
        <w:rPr>
          <w:rStyle w:val="FootnoteReference"/>
        </w:rPr>
        <w:footnoteReference w:id="2"/>
      </w:r>
      <w:r w:rsidR="006851BA" w:rsidRPr="001B27F8">
        <w:t xml:space="preserve"> </w:t>
      </w:r>
      <w:r w:rsidR="00DD6A10" w:rsidRPr="001B27F8">
        <w:t xml:space="preserve">Salvation becomes the most appropriate way </w:t>
      </w:r>
      <w:r w:rsidR="007A4B9D" w:rsidRPr="001B27F8">
        <w:t>through</w:t>
      </w:r>
      <w:r w:rsidR="00DD6A10" w:rsidRPr="001B27F8">
        <w:t xml:space="preserve"> which huma</w:t>
      </w:r>
      <w:r w:rsidR="009626D8">
        <w:t>nity</w:t>
      </w:r>
      <w:r w:rsidR="00DD6A10" w:rsidRPr="001B27F8">
        <w:t xml:space="preserve"> would achieve </w:t>
      </w:r>
      <w:r w:rsidR="00871DEA" w:rsidRPr="001B27F8">
        <w:t>acceptance from God through Jesus Christ</w:t>
      </w:r>
      <w:r w:rsidR="00F56FE8">
        <w:t>,</w:t>
      </w:r>
      <w:r w:rsidR="00871DEA" w:rsidRPr="001B27F8">
        <w:t xml:space="preserve"> His son</w:t>
      </w:r>
      <w:r w:rsidR="003A7AE4" w:rsidRPr="001B27F8">
        <w:t xml:space="preserve">. The issue of salvation is also highlighted by Julia Ching as she </w:t>
      </w:r>
      <w:r w:rsidR="003A7AE4" w:rsidRPr="001B27F8">
        <w:lastRenderedPageBreak/>
        <w:t xml:space="preserve">asserts of the greatness of the name of Jesus Christ and the role of that name in salvation. </w:t>
      </w:r>
      <w:r w:rsidR="00150105" w:rsidRPr="001B27F8">
        <w:t xml:space="preserve"> </w:t>
      </w:r>
      <w:r w:rsidR="003E4072" w:rsidRPr="001B27F8">
        <w:t xml:space="preserve">Julia asserts that </w:t>
      </w:r>
      <w:r w:rsidR="00C1146B" w:rsidRPr="001B27F8">
        <w:t xml:space="preserve">the name of Jesus Christ of Nazareth is superior to all other names and it is a name that worked miracles as was the case when </w:t>
      </w:r>
      <w:r w:rsidR="0041625E" w:rsidRPr="001B27F8">
        <w:t>Peter and John</w:t>
      </w:r>
      <w:r w:rsidR="00B132F0" w:rsidRPr="001B27F8">
        <w:t xml:space="preserve"> used it to heal the </w:t>
      </w:r>
      <w:r w:rsidR="0041625E" w:rsidRPr="001B27F8">
        <w:t>beggar</w:t>
      </w:r>
      <w:r w:rsidR="00570D88" w:rsidRPr="001B27F8">
        <w:t>.</w:t>
      </w:r>
      <w:r w:rsidR="00F940AD" w:rsidRPr="001B27F8">
        <w:rPr>
          <w:rStyle w:val="FootnoteReference"/>
        </w:rPr>
        <w:footnoteReference w:id="3"/>
      </w:r>
      <w:r w:rsidR="00090B1E" w:rsidRPr="001B27F8">
        <w:t xml:space="preserve"> </w:t>
      </w:r>
      <w:r w:rsidR="00F204CA" w:rsidRPr="001B27F8">
        <w:t>Peter looked at the beggar and said to him that he did not have silver or gold. However, Peter promised to give what he had, and he told the beggar to walk, in the name of Jesus Christ of Nazareth.</w:t>
      </w:r>
      <w:r w:rsidR="0051737C" w:rsidRPr="001B27F8">
        <w:rPr>
          <w:rStyle w:val="FootnoteReference"/>
        </w:rPr>
        <w:footnoteReference w:id="4"/>
      </w:r>
      <w:r w:rsidR="00F204CA" w:rsidRPr="001B27F8">
        <w:t xml:space="preserve"> From this passage, it can be observed that Peter and John acknowledged the importance and </w:t>
      </w:r>
      <w:r w:rsidR="00E05E14" w:rsidRPr="001B27F8">
        <w:t>uniqueness of the name of J</w:t>
      </w:r>
      <w:r w:rsidR="00E67CA1" w:rsidRPr="001B27F8">
        <w:t>esus Christ of Nazareth. It is the</w:t>
      </w:r>
      <w:r w:rsidR="00E05E14" w:rsidRPr="001B27F8">
        <w:t xml:space="preserve"> powerful name that changed the beggar’s life</w:t>
      </w:r>
      <w:r w:rsidR="00F85AC1" w:rsidRPr="001B27F8">
        <w:t>,</w:t>
      </w:r>
      <w:r w:rsidR="00E05E14" w:rsidRPr="001B27F8">
        <w:t xml:space="preserve"> and he walked. He could start working and feeding for himself after getting healed. Thus, J</w:t>
      </w:r>
      <w:r w:rsidR="00097725" w:rsidRPr="001B27F8">
        <w:t xml:space="preserve">ulia’s article corresponds with the passage in the Bible in Acts 4:12 that asserts of the uniqueness of the name of Jesus </w:t>
      </w:r>
      <w:r w:rsidR="00C27826" w:rsidRPr="001B27F8">
        <w:t>Christ</w:t>
      </w:r>
      <w:r w:rsidR="00097725" w:rsidRPr="001B27F8">
        <w:t xml:space="preserve"> of Nazareth.</w:t>
      </w:r>
      <w:r w:rsidR="00112156" w:rsidRPr="001B27F8">
        <w:t xml:space="preserve"> Just as the Bible declares</w:t>
      </w:r>
      <w:r w:rsidR="00097725" w:rsidRPr="001B27F8">
        <w:t xml:space="preserve"> that people will only be saved by the name of Jesus Christ of Nazareth, so it happ</w:t>
      </w:r>
      <w:r w:rsidR="002D2B9F" w:rsidRPr="001B27F8">
        <w:t>ened to the beggar. He was rescued</w:t>
      </w:r>
      <w:r w:rsidR="00097725" w:rsidRPr="001B27F8">
        <w:t xml:space="preserve"> from his challenging life after receiving healing. </w:t>
      </w:r>
      <w:r w:rsidR="00DD33BC" w:rsidRPr="001B27F8">
        <w:t xml:space="preserve">It can be acknowledged that various names that can be used, but they may not have the powers to save. </w:t>
      </w:r>
    </w:p>
    <w:p w:rsidR="009E27DE" w:rsidRPr="001B27F8" w:rsidRDefault="009E27DE" w:rsidP="00BB55CD">
      <w:pPr>
        <w:ind w:firstLine="720"/>
        <w:contextualSpacing/>
      </w:pPr>
      <w:r w:rsidRPr="001B27F8">
        <w:t xml:space="preserve">It can be argued that the intent of the author is to amplify the knowledge about the power in the name of Jesus. This statement is based on the observation that </w:t>
      </w:r>
      <w:r w:rsidR="00FC70B4" w:rsidRPr="001B27F8">
        <w:t>Ching goes deeper in trying to enhanc</w:t>
      </w:r>
      <w:r w:rsidR="006547AF" w:rsidRPr="001B27F8">
        <w:t>e the understanding of the authority</w:t>
      </w:r>
      <w:r w:rsidR="00FC70B4" w:rsidRPr="001B27F8">
        <w:t xml:space="preserve"> in the name of Jesus by further evaluating the deeds of Peter and John regarding the beggar. For example, Ching asserts that the beggar did not request to be healed.</w:t>
      </w:r>
      <w:r w:rsidR="00F86643" w:rsidRPr="001B27F8">
        <w:rPr>
          <w:rStyle w:val="FootnoteReference"/>
        </w:rPr>
        <w:footnoteReference w:id="5"/>
      </w:r>
      <w:r w:rsidR="00FC70B4" w:rsidRPr="001B27F8">
        <w:t xml:space="preserve"> On the contrary, he only wanted money, which Peter and John di</w:t>
      </w:r>
      <w:r w:rsidR="008B756C" w:rsidRPr="001B27F8">
        <w:t xml:space="preserve">d not have. Thus, by arguing that the beggar’s healing depended not on his faith, but on the faith of Peter, Ching </w:t>
      </w:r>
      <w:r w:rsidR="003E28E0" w:rsidRPr="001B27F8">
        <w:t>strives to show how powerful the n</w:t>
      </w:r>
      <w:r w:rsidR="00ED66CC" w:rsidRPr="001B27F8">
        <w:t>ame of Jesus is</w:t>
      </w:r>
      <w:r w:rsidR="003E28E0" w:rsidRPr="001B27F8">
        <w:t xml:space="preserve"> and that no other name could have achieved similar fetes. </w:t>
      </w:r>
      <w:r w:rsidR="00C2486F" w:rsidRPr="001B27F8">
        <w:t xml:space="preserve">It cannot be claimed that the beggar was healed because of his faith </w:t>
      </w:r>
      <w:r w:rsidR="00C2486F" w:rsidRPr="001B27F8">
        <w:lastRenderedPageBreak/>
        <w:t xml:space="preserve">because he was never interested in healing in the first place. Thus, his healing solely depended on Peter’s faith in the name of Jesus, when he told the beggar to get up and walk, in the name of Jesus </w:t>
      </w:r>
      <w:r w:rsidR="00D244B6" w:rsidRPr="001B27F8">
        <w:t>Christ</w:t>
      </w:r>
      <w:r w:rsidR="00C2486F" w:rsidRPr="001B27F8">
        <w:t xml:space="preserve"> of Nazareth. </w:t>
      </w:r>
    </w:p>
    <w:p w:rsidR="007C034E" w:rsidRPr="001B27F8" w:rsidRDefault="007C034E" w:rsidP="007C034E">
      <w:pPr>
        <w:ind w:firstLine="720"/>
        <w:contextualSpacing/>
      </w:pPr>
      <w:r w:rsidRPr="001B27F8">
        <w:t>Additionally, Utley’s also provides critical information about salvation and its role in the spreading of the gospel.</w:t>
      </w:r>
      <w:r w:rsidRPr="001B27F8">
        <w:rPr>
          <w:rStyle w:val="FootnoteReference"/>
        </w:rPr>
        <w:footnoteReference w:id="6"/>
      </w:r>
      <w:r w:rsidRPr="001B27F8">
        <w:t xml:space="preserve"> The author goes on to expound on the meaning </w:t>
      </w:r>
      <w:r w:rsidR="004C39F8">
        <w:t>regarding salvation by offering</w:t>
      </w:r>
      <w:r w:rsidRPr="001B27F8">
        <w:t xml:space="preserve"> additional verses from the Bible. </w:t>
      </w:r>
      <w:r w:rsidR="00B35008" w:rsidRPr="001B27F8">
        <w:t xml:space="preserve">Therefore, it can be observed that salvation is critical in the attainment of the objective of the spreading of the gospel. It can be argued that the conversion of Christians may not be accomplished without the attainment of salvation. It is through salvation that </w:t>
      </w:r>
      <w:r w:rsidR="007A4B9D" w:rsidRPr="001B27F8">
        <w:t>Christians</w:t>
      </w:r>
      <w:r w:rsidR="00B35008" w:rsidRPr="001B27F8">
        <w:t xml:space="preserve"> become redeemed from </w:t>
      </w:r>
      <w:r w:rsidR="00321DCE" w:rsidRPr="001B27F8">
        <w:t xml:space="preserve">temptations and sin. </w:t>
      </w:r>
    </w:p>
    <w:p w:rsidR="007C034E" w:rsidRPr="001B27F8" w:rsidRDefault="007C034E" w:rsidP="00321DCE">
      <w:pPr>
        <w:contextualSpacing/>
      </w:pPr>
    </w:p>
    <w:p w:rsidR="00BA45E6" w:rsidRPr="001B27F8" w:rsidRDefault="00E94C98" w:rsidP="00BB55CD">
      <w:pPr>
        <w:ind w:firstLine="720"/>
        <w:contextualSpacing/>
      </w:pPr>
      <w:r w:rsidRPr="001B27F8">
        <w:t xml:space="preserve">Furthermore, </w:t>
      </w:r>
      <w:r w:rsidR="00454791" w:rsidRPr="001B27F8">
        <w:t xml:space="preserve">Boesak </w:t>
      </w:r>
      <w:r w:rsidR="006920C7" w:rsidRPr="001B27F8">
        <w:t>also acknowledges the importance and relevance of Jesus’ name in apostleship</w:t>
      </w:r>
      <w:r w:rsidR="003629A4" w:rsidRPr="001B27F8">
        <w:t>.</w:t>
      </w:r>
      <w:r w:rsidR="00EC3D70" w:rsidRPr="001B27F8">
        <w:rPr>
          <w:rStyle w:val="FootnoteReference"/>
        </w:rPr>
        <w:footnoteReference w:id="7"/>
      </w:r>
      <w:r w:rsidR="003629A4" w:rsidRPr="001B27F8">
        <w:t xml:space="preserve"> Through the name of Jesus, all people receive their salvation. It is a name that the disciples and current missionaries can find solace in because its power is eternal. Just as the name was powerful when Jesus lived on earth, so is the name powerful even now. </w:t>
      </w:r>
      <w:r w:rsidR="00251585" w:rsidRPr="001B27F8">
        <w:t>From an evaluation of the article, it can be argued that Boesak’</w:t>
      </w:r>
      <w:r w:rsidR="00886885" w:rsidRPr="001B27F8">
        <w:t>s intentions are geared towards exemplifying the role of the name o</w:t>
      </w:r>
      <w:r w:rsidR="00D22988" w:rsidRPr="001B27F8">
        <w:t>f Jesus Christ in saving humanity</w:t>
      </w:r>
      <w:r w:rsidR="00886885" w:rsidRPr="001B27F8">
        <w:t xml:space="preserve">. </w:t>
      </w:r>
    </w:p>
    <w:p w:rsidR="00747C11" w:rsidRPr="001B27F8" w:rsidRDefault="004B1074" w:rsidP="009330B5">
      <w:pPr>
        <w:ind w:firstLine="720"/>
        <w:contextualSpacing/>
      </w:pPr>
      <w:r w:rsidRPr="001B27F8">
        <w:t xml:space="preserve">A critical understanding of the book of Acts is necessary to understand the role of the apostles after the ascension of Jesus Christ. It is worth noting that the apostles were now in </w:t>
      </w:r>
      <w:r w:rsidRPr="001B27F8">
        <w:lastRenderedPageBreak/>
        <w:t xml:space="preserve">charge of the advancement of the gospel after Jesus had ascended into heaven. Having spent many years with Jesus Christ and learning more about His mission, the apostles were now in charge of the mission. Therefore, it is worth noting that </w:t>
      </w:r>
      <w:r w:rsidR="000E4EBD" w:rsidRPr="001B27F8">
        <w:t xml:space="preserve">a clear understanding of the lives of the apostles, their way of life, and the </w:t>
      </w:r>
      <w:r w:rsidR="005007DF" w:rsidRPr="001B27F8">
        <w:t xml:space="preserve">nature of their apostolic tasks is necessary to understand how those elements would influence the advancement of the gospel. Constable asserts that the apostles had a </w:t>
      </w:r>
      <w:r w:rsidR="00041CB3">
        <w:t xml:space="preserve">significant </w:t>
      </w:r>
      <w:r w:rsidR="005007DF" w:rsidRPr="001B27F8">
        <w:t xml:space="preserve">role </w:t>
      </w:r>
      <w:r w:rsidR="00300B21">
        <w:t>in</w:t>
      </w:r>
      <w:r w:rsidR="005007DF" w:rsidRPr="001B27F8">
        <w:t xml:space="preserve"> ensuring they win other disciples who would carry the mantle of spreading the gospel into the world just as Jesus Christ had wanted. </w:t>
      </w:r>
      <w:r w:rsidR="00C01B18" w:rsidRPr="001B27F8">
        <w:t xml:space="preserve">To enhance valuable understanding of the book of Acts, Constable </w:t>
      </w:r>
      <w:r w:rsidR="00775CAE" w:rsidRPr="001B27F8">
        <w:t>provide</w:t>
      </w:r>
      <w:r w:rsidR="00C01B18" w:rsidRPr="001B27F8">
        <w:t xml:space="preserve">s more information </w:t>
      </w:r>
      <w:r w:rsidR="00435E2E">
        <w:t>about</w:t>
      </w:r>
      <w:r w:rsidR="00775CAE" w:rsidRPr="001B27F8">
        <w:t xml:space="preserve"> the historical</w:t>
      </w:r>
      <w:r w:rsidR="004D6E33" w:rsidRPr="001B27F8">
        <w:t xml:space="preserve"> background of Acts’ authorship</w:t>
      </w:r>
      <w:r w:rsidR="009134C0" w:rsidRPr="001B27F8">
        <w:t>.</w:t>
      </w:r>
      <w:r w:rsidR="00B66776" w:rsidRPr="001B27F8">
        <w:rPr>
          <w:rStyle w:val="FootnoteReference"/>
        </w:rPr>
        <w:footnoteReference w:id="8"/>
      </w:r>
      <w:r w:rsidR="009134C0" w:rsidRPr="001B27F8">
        <w:t xml:space="preserve"> </w:t>
      </w:r>
      <w:r w:rsidR="004169D1" w:rsidRPr="001B27F8">
        <w:t>It is also worth noting that Acts talks about the challenges faced by the apostles</w:t>
      </w:r>
      <w:r w:rsidR="00E52830">
        <w:t>,</w:t>
      </w:r>
      <w:r w:rsidR="004169D1" w:rsidRPr="001B27F8">
        <w:t xml:space="preserve"> as they promoted the gospel and the roles played by each apostle in achieving the intended objective of spreading the gospel. For example, the audience at that time was extremely critical of the apostles and it was likely that the apostles faced backlash. Constable </w:t>
      </w:r>
      <w:r w:rsidR="00293697" w:rsidRPr="001B27F8">
        <w:t>evaluates the</w:t>
      </w:r>
      <w:r w:rsidR="00605CE2" w:rsidRPr="001B27F8">
        <w:t xml:space="preserve"> audience to whom Peter </w:t>
      </w:r>
      <w:r w:rsidR="00155233" w:rsidRPr="001B27F8">
        <w:t>w</w:t>
      </w:r>
      <w:r w:rsidR="00605CE2" w:rsidRPr="001B27F8">
        <w:t>as speaking and his courage in standing before a congregation full of intellectual and wealth</w:t>
      </w:r>
      <w:r w:rsidR="00155233" w:rsidRPr="001B27F8">
        <w:t>y</w:t>
      </w:r>
      <w:r w:rsidR="00605CE2" w:rsidRPr="001B27F8">
        <w:t xml:space="preserve"> people in the region.</w:t>
      </w:r>
      <w:r w:rsidR="006E26A4" w:rsidRPr="001B27F8">
        <w:rPr>
          <w:rStyle w:val="FootnoteReference"/>
        </w:rPr>
        <w:footnoteReference w:id="9"/>
      </w:r>
      <w:r w:rsidR="00605CE2" w:rsidRPr="001B27F8">
        <w:t xml:space="preserve"> </w:t>
      </w:r>
      <w:r w:rsidR="003B5BAF" w:rsidRPr="001B27F8">
        <w:t>Therefore, the risk Peter faced by promoting the gospel is highly evident in Acts. The power held by these influential people could be used to wreck havoc to the apostles as they went about their businesses of spreading the gospel</w:t>
      </w:r>
      <w:r w:rsidR="00747C11" w:rsidRPr="001B27F8">
        <w:t xml:space="preserve">. It is possible for the reader to deduce that Peter risked significantly by asserting of the greatness of the name of Jesus at a time when there was a large population of highly influential people that were against the disciples’ work. </w:t>
      </w:r>
      <w:r w:rsidR="00FA70F2" w:rsidRPr="001B27F8">
        <w:t xml:space="preserve">Acts, therefore, provides an </w:t>
      </w:r>
      <w:r w:rsidR="00FA70F2" w:rsidRPr="001B27F8">
        <w:lastRenderedPageBreak/>
        <w:t xml:space="preserve">evaluation of the challenges involved in the spread of the gospel. It is possible to become afraid when called to address influential persons. However, Peter </w:t>
      </w:r>
      <w:r w:rsidR="0094343A" w:rsidRPr="001B27F8">
        <w:t xml:space="preserve">exhibits courage when addressing the </w:t>
      </w:r>
      <w:r w:rsidR="00663925">
        <w:t>prominent</w:t>
      </w:r>
      <w:r w:rsidR="0094343A" w:rsidRPr="001B27F8">
        <w:t xml:space="preserve"> individuals and this act gives hope and courage to current apostles</w:t>
      </w:r>
      <w:r w:rsidR="005D79F8" w:rsidRPr="001B27F8">
        <w:t xml:space="preserve"> to be courageous</w:t>
      </w:r>
      <w:r w:rsidR="00747C11" w:rsidRPr="001B27F8">
        <w:t>.</w:t>
      </w:r>
    </w:p>
    <w:p w:rsidR="0099631B" w:rsidRPr="001B27F8" w:rsidRDefault="00EB0B8F" w:rsidP="00BB55CD">
      <w:pPr>
        <w:ind w:firstLine="720"/>
        <w:contextualSpacing/>
      </w:pPr>
      <w:r w:rsidRPr="001B27F8">
        <w:t xml:space="preserve">An understanding of the Acts’ contents may be limited if the reader possesses limited information about the environment surrounding the apostles during that time and their achievements. </w:t>
      </w:r>
      <w:r w:rsidR="00A5719C" w:rsidRPr="00A5719C">
        <w:t>Polhill provi</w:t>
      </w:r>
      <w:r w:rsidR="00CE7A28">
        <w:t>des the issue of the attainment</w:t>
      </w:r>
      <w:r w:rsidR="00A5719C" w:rsidRPr="00A5719C">
        <w:t xml:space="preserve"> of the apostles regarding their </w:t>
      </w:r>
      <w:r w:rsidR="00A5719C">
        <w:t>expertise in spreading the word</w:t>
      </w:r>
      <w:r w:rsidR="0047532B" w:rsidRPr="001B27F8">
        <w:t>.</w:t>
      </w:r>
      <w:r w:rsidR="00C82394" w:rsidRPr="001B27F8">
        <w:rPr>
          <w:rStyle w:val="FootnoteReference"/>
        </w:rPr>
        <w:footnoteReference w:id="10"/>
      </w:r>
      <w:r w:rsidR="0047532B" w:rsidRPr="001B27F8">
        <w:t xml:space="preserve"> </w:t>
      </w:r>
      <w:r w:rsidR="00AB5BF4" w:rsidRPr="001B27F8">
        <w:t xml:space="preserve"> </w:t>
      </w:r>
      <w:r w:rsidR="00B7676E" w:rsidRPr="001B27F8">
        <w:t xml:space="preserve">It is appropriate to understand how the apostles managed to succeed in such tough times while spreading the gospel. It can be observed that the </w:t>
      </w:r>
      <w:r w:rsidR="00557181" w:rsidRPr="001B27F8">
        <w:t>apostles</w:t>
      </w:r>
      <w:r w:rsidR="00B7676E" w:rsidRPr="001B27F8">
        <w:t xml:space="preserve">, such as Luke were experts in historical and linguistic fronts that they managed to ensure the gospel was spread as Jesus Christ had intended. For example, </w:t>
      </w:r>
      <w:r w:rsidR="009B6768" w:rsidRPr="001B27F8">
        <w:t xml:space="preserve">Polhill emphasizes </w:t>
      </w:r>
      <w:r w:rsidR="00B7676E" w:rsidRPr="001B27F8">
        <w:t>outlines Luke’s expertise in the Greek language and how this enhanced the spreading of the gospel to promote Christianity at a time that the apostles were faced with numerous challenges including opposition from influential persons.</w:t>
      </w:r>
      <w:r w:rsidR="000575AE" w:rsidRPr="001B27F8">
        <w:rPr>
          <w:rStyle w:val="FootnoteReference"/>
        </w:rPr>
        <w:footnoteReference w:id="11"/>
      </w:r>
      <w:r w:rsidR="009B6768" w:rsidRPr="001B27F8">
        <w:t xml:space="preserve"> </w:t>
      </w:r>
      <w:r w:rsidR="00557181" w:rsidRPr="001B27F8">
        <w:t xml:space="preserve">The book of Acts, therefore, is not only about the </w:t>
      </w:r>
      <w:r w:rsidR="00A47F8F" w:rsidRPr="001B27F8">
        <w:t>Holy Spirit</w:t>
      </w:r>
      <w:r w:rsidR="00557181" w:rsidRPr="001B27F8">
        <w:t xml:space="preserve"> and the spreading of the gospel. It is also about the qualification of the people involved in spreading the gospel. </w:t>
      </w:r>
      <w:r w:rsidR="00EB3C06" w:rsidRPr="001B27F8">
        <w:t xml:space="preserve">Acts is also about courage and commitment to ensure that the gospel reaches the world as Jesus Christ intended. </w:t>
      </w:r>
    </w:p>
    <w:p w:rsidR="00320491" w:rsidRPr="001B27F8" w:rsidRDefault="00397E20" w:rsidP="00F3373A">
      <w:pPr>
        <w:ind w:firstLine="720"/>
        <w:contextualSpacing/>
      </w:pPr>
      <w:r w:rsidRPr="001B27F8">
        <w:t xml:space="preserve">In conclusion, it can be observed that Acts 4:12 plays a significant role </w:t>
      </w:r>
      <w:r w:rsidR="00933711" w:rsidRPr="001B27F8">
        <w:t xml:space="preserve">in the advancement of the gospel based on the statement about no other name. </w:t>
      </w:r>
      <w:r w:rsidR="007C135F" w:rsidRPr="001B27F8">
        <w:t>This</w:t>
      </w:r>
      <w:r w:rsidR="00180195" w:rsidRPr="001B27F8">
        <w:t xml:space="preserve"> statement forms the basi</w:t>
      </w:r>
      <w:r w:rsidR="00713CB5" w:rsidRPr="001B27F8">
        <w:t xml:space="preserve">s of missionary work </w:t>
      </w:r>
      <w:r w:rsidR="007C135F" w:rsidRPr="001B27F8">
        <w:t>because</w:t>
      </w:r>
      <w:r w:rsidR="00713CB5" w:rsidRPr="001B27F8">
        <w:t xml:space="preserve"> it is through this name </w:t>
      </w:r>
      <w:r w:rsidR="007C135F" w:rsidRPr="001B27F8">
        <w:t xml:space="preserve">that Christians proclaim the Christianity faith. </w:t>
      </w:r>
      <w:r w:rsidR="00BE2731" w:rsidRPr="001B27F8">
        <w:t xml:space="preserve">Whereas some authors have contributed </w:t>
      </w:r>
      <w:r w:rsidR="005F54E8" w:rsidRPr="001B27F8">
        <w:t>substantially</w:t>
      </w:r>
      <w:r w:rsidR="00BE2731" w:rsidRPr="001B27F8">
        <w:t xml:space="preserve"> to the enhancement of understanding of the topic through the </w:t>
      </w:r>
      <w:r w:rsidR="00831FF3" w:rsidRPr="001B27F8">
        <w:t>provision</w:t>
      </w:r>
      <w:r w:rsidR="00BE2731" w:rsidRPr="001B27F8">
        <w:t xml:space="preserve"> of background infor</w:t>
      </w:r>
      <w:r w:rsidR="00F86241" w:rsidRPr="001B27F8">
        <w:t>mation, others have not provided as much. The provision of additional background information</w:t>
      </w:r>
      <w:r w:rsidR="000C2823" w:rsidRPr="001B27F8">
        <w:t xml:space="preserve"> heightens understanding. </w:t>
      </w:r>
    </w:p>
    <w:p w:rsidR="00E2677D" w:rsidRPr="001B27F8" w:rsidRDefault="00B52C50" w:rsidP="00E2677D">
      <w:pPr>
        <w:jc w:val="center"/>
      </w:pPr>
      <w:r w:rsidRPr="001B27F8">
        <w:lastRenderedPageBreak/>
        <w:t>Bibliography</w:t>
      </w:r>
    </w:p>
    <w:p w:rsidR="00E2677D" w:rsidRPr="001B27F8" w:rsidRDefault="00E2677D" w:rsidP="00A823AE">
      <w:pPr>
        <w:ind w:left="720" w:hanging="720"/>
        <w:contextualSpacing/>
      </w:pPr>
      <w:bookmarkStart w:id="0" w:name="Result_30"/>
      <w:r w:rsidRPr="001B27F8">
        <w:t>Boesak, Allan Aubrey. “In the Name of Jesus: Acts 4:12.</w:t>
      </w:r>
      <w:bookmarkEnd w:id="0"/>
      <w:r w:rsidRPr="001B27F8">
        <w:t xml:space="preserve">” </w:t>
      </w:r>
      <w:r w:rsidRPr="001B27F8">
        <w:rPr>
          <w:i/>
          <w:iCs/>
        </w:rPr>
        <w:t>Journal of Theology for Southern Africa</w:t>
      </w:r>
      <w:r w:rsidRPr="001B27F8">
        <w:t xml:space="preserve"> 52 (September 1985): 49–55.</w:t>
      </w:r>
    </w:p>
    <w:p w:rsidR="00E2677D" w:rsidRPr="001B27F8" w:rsidRDefault="00E2677D" w:rsidP="00A823AE">
      <w:pPr>
        <w:ind w:left="720" w:hanging="720"/>
        <w:contextualSpacing/>
      </w:pPr>
      <w:r w:rsidRPr="001B27F8">
        <w:t xml:space="preserve">Ching, Julia. “No Other Name.” </w:t>
      </w:r>
      <w:r w:rsidRPr="001B27F8">
        <w:rPr>
          <w:i/>
          <w:iCs/>
        </w:rPr>
        <w:t>Japanese Journal of Religious Studies</w:t>
      </w:r>
      <w:r w:rsidRPr="001B27F8">
        <w:t xml:space="preserve"> 12, no. 2–3 (June 1985): 253–262.</w:t>
      </w:r>
    </w:p>
    <w:p w:rsidR="00E2677D" w:rsidRPr="001B27F8" w:rsidRDefault="00E2677D" w:rsidP="00A823AE">
      <w:pPr>
        <w:ind w:left="720" w:hanging="720"/>
        <w:contextualSpacing/>
        <w:rPr>
          <w:rStyle w:val="medium-font"/>
        </w:rPr>
      </w:pPr>
      <w:r w:rsidRPr="001B27F8">
        <w:t xml:space="preserve">Constable, Thomas L. “Notes on Acts.” </w:t>
      </w:r>
      <w:r w:rsidRPr="001B27F8">
        <w:rPr>
          <w:i/>
        </w:rPr>
        <w:t>Dr. Constable’s Expository Notes</w:t>
      </w:r>
      <w:r w:rsidRPr="001B27F8">
        <w:t xml:space="preserve">. (2014). </w:t>
      </w:r>
      <w:hyperlink r:id="rId7" w:history="1">
        <w:r w:rsidRPr="001B27F8">
          <w:rPr>
            <w:rStyle w:val="Hyperlink"/>
            <w:color w:val="auto"/>
          </w:rPr>
          <w:t>http://www.soniclight.com/constable/notes/pdf/acts.pdf</w:t>
        </w:r>
      </w:hyperlink>
      <w:r w:rsidRPr="001B27F8">
        <w:t>.</w:t>
      </w:r>
    </w:p>
    <w:p w:rsidR="00E2677D" w:rsidRPr="001B27F8" w:rsidRDefault="00E2677D" w:rsidP="00A823AE">
      <w:pPr>
        <w:ind w:left="720" w:hanging="720"/>
        <w:contextualSpacing/>
        <w:rPr>
          <w:rStyle w:val="medium-font"/>
        </w:rPr>
      </w:pPr>
      <w:r w:rsidRPr="001B27F8">
        <w:rPr>
          <w:rStyle w:val="medium-font"/>
        </w:rPr>
        <w:t>Culpepper, Hugo H. “</w:t>
      </w:r>
      <w:r w:rsidRPr="001B27F8">
        <w:rPr>
          <w:rStyle w:val="title-link-wrapper"/>
        </w:rPr>
        <w:t>Acts 4:12.</w:t>
      </w:r>
      <w:r w:rsidRPr="001B27F8">
        <w:t xml:space="preserve">” </w:t>
      </w:r>
      <w:r w:rsidRPr="001B27F8">
        <w:rPr>
          <w:rStyle w:val="medium-font"/>
          <w:i/>
          <w:iCs/>
        </w:rPr>
        <w:t>Review &amp; Expositor</w:t>
      </w:r>
      <w:r w:rsidRPr="001B27F8">
        <w:rPr>
          <w:rStyle w:val="medium-font"/>
        </w:rPr>
        <w:t xml:space="preserve"> 89, no. 1 (December 1992): 85–87.</w:t>
      </w:r>
    </w:p>
    <w:p w:rsidR="00E2677D" w:rsidRPr="001B27F8" w:rsidRDefault="00685250" w:rsidP="00A823AE">
      <w:pPr>
        <w:pStyle w:val="Bibliography"/>
        <w:spacing w:line="480" w:lineRule="auto"/>
        <w:ind w:left="720" w:hanging="720"/>
        <w:contextualSpacing/>
        <w:rPr>
          <w:rFonts w:ascii="Times New Roman" w:hAnsi="Times New Roman" w:cs="Times New Roman"/>
          <w:sz w:val="24"/>
          <w:szCs w:val="24"/>
        </w:rPr>
      </w:pPr>
      <w:r w:rsidRPr="001B27F8">
        <w:rPr>
          <w:rFonts w:ascii="Times New Roman" w:hAnsi="Times New Roman" w:cs="Times New Roman"/>
          <w:sz w:val="24"/>
          <w:szCs w:val="24"/>
        </w:rPr>
        <w:fldChar w:fldCharType="begin"/>
      </w:r>
      <w:r w:rsidR="00E2677D" w:rsidRPr="001B27F8">
        <w:rPr>
          <w:rFonts w:ascii="Times New Roman" w:hAnsi="Times New Roman" w:cs="Times New Roman"/>
          <w:sz w:val="24"/>
          <w:szCs w:val="24"/>
        </w:rPr>
        <w:instrText xml:space="preserve"> BIBLIOGRAPHY  \l 1033 </w:instrText>
      </w:r>
      <w:r w:rsidRPr="001B27F8">
        <w:rPr>
          <w:rFonts w:ascii="Times New Roman" w:hAnsi="Times New Roman" w:cs="Times New Roman"/>
          <w:sz w:val="24"/>
          <w:szCs w:val="24"/>
        </w:rPr>
        <w:fldChar w:fldCharType="separate"/>
      </w:r>
      <w:r w:rsidR="00E2677D" w:rsidRPr="001B27F8">
        <w:rPr>
          <w:rFonts w:ascii="Times New Roman" w:hAnsi="Times New Roman" w:cs="Times New Roman"/>
          <w:noProof/>
          <w:sz w:val="24"/>
          <w:szCs w:val="24"/>
        </w:rPr>
        <w:t xml:space="preserve">Polhill, John C. </w:t>
      </w:r>
      <w:r w:rsidR="00E2677D" w:rsidRPr="001B27F8">
        <w:rPr>
          <w:rFonts w:ascii="Times New Roman" w:hAnsi="Times New Roman" w:cs="Times New Roman"/>
          <w:i/>
          <w:iCs/>
          <w:noProof/>
          <w:sz w:val="24"/>
          <w:szCs w:val="24"/>
        </w:rPr>
        <w:t>The New American Comentary: Acts.</w:t>
      </w:r>
      <w:r w:rsidR="00E2677D" w:rsidRPr="001B27F8">
        <w:rPr>
          <w:rFonts w:ascii="Times New Roman" w:hAnsi="Times New Roman" w:cs="Times New Roman"/>
          <w:noProof/>
          <w:sz w:val="24"/>
          <w:szCs w:val="24"/>
        </w:rPr>
        <w:t xml:space="preserve"> Vol. 26. (Nashville: B&amp;H Publishing Group), 1992.</w:t>
      </w:r>
      <w:r w:rsidRPr="001B27F8">
        <w:rPr>
          <w:rFonts w:ascii="Times New Roman" w:hAnsi="Times New Roman" w:cs="Times New Roman"/>
          <w:sz w:val="24"/>
          <w:szCs w:val="24"/>
        </w:rPr>
        <w:fldChar w:fldCharType="end"/>
      </w:r>
    </w:p>
    <w:p w:rsidR="00E2677D" w:rsidRPr="001B27F8" w:rsidRDefault="00E2677D" w:rsidP="00A823AE">
      <w:pPr>
        <w:ind w:left="720" w:hanging="720"/>
        <w:contextualSpacing/>
        <w:rPr>
          <w:b/>
          <w:bCs/>
        </w:rPr>
      </w:pPr>
      <w:r w:rsidRPr="001B27F8">
        <w:rPr>
          <w:rStyle w:val="medium-font"/>
        </w:rPr>
        <w:t xml:space="preserve">Utley, Bob. “Luke the Historian: Acts.” </w:t>
      </w:r>
      <w:r w:rsidRPr="001B27F8">
        <w:rPr>
          <w:rStyle w:val="medium-font"/>
          <w:i/>
        </w:rPr>
        <w:t>The Study Bible Commentary Series, New Testament</w:t>
      </w:r>
      <w:r w:rsidRPr="001B27F8">
        <w:rPr>
          <w:rStyle w:val="medium-font"/>
        </w:rPr>
        <w:t xml:space="preserve">, 3B. (November 2012) </w:t>
      </w:r>
      <w:hyperlink r:id="rId8" w:history="1">
        <w:r w:rsidRPr="001B27F8">
          <w:rPr>
            <w:rStyle w:val="Hyperlink"/>
            <w:color w:val="auto"/>
          </w:rPr>
          <w:t>https://bible.org/seriespage/luke-historian-acts</w:t>
        </w:r>
      </w:hyperlink>
      <w:r w:rsidRPr="001B27F8">
        <w:rPr>
          <w:rStyle w:val="medium-font"/>
        </w:rPr>
        <w:t>.</w:t>
      </w:r>
    </w:p>
    <w:sectPr w:rsidR="00E2677D" w:rsidRPr="001B27F8"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46" w:rsidRDefault="005F3C46" w:rsidP="005F3C46">
      <w:pPr>
        <w:spacing w:after="0" w:line="240" w:lineRule="auto"/>
      </w:pPr>
      <w:r>
        <w:separator/>
      </w:r>
    </w:p>
  </w:endnote>
  <w:endnote w:type="continuationSeparator" w:id="1">
    <w:p w:rsidR="005F3C46" w:rsidRDefault="005F3C46" w:rsidP="005F3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46" w:rsidRDefault="005F3C46" w:rsidP="005F3C46">
      <w:pPr>
        <w:spacing w:after="0" w:line="240" w:lineRule="auto"/>
      </w:pPr>
      <w:r>
        <w:separator/>
      </w:r>
    </w:p>
  </w:footnote>
  <w:footnote w:type="continuationSeparator" w:id="1">
    <w:p w:rsidR="005F3C46" w:rsidRDefault="005F3C46" w:rsidP="005F3C46">
      <w:pPr>
        <w:spacing w:after="0" w:line="240" w:lineRule="auto"/>
      </w:pPr>
      <w:r>
        <w:continuationSeparator/>
      </w:r>
    </w:p>
  </w:footnote>
  <w:footnote w:id="2">
    <w:p w:rsidR="00150105" w:rsidRPr="00140F67" w:rsidRDefault="00150105" w:rsidP="00150105">
      <w:pPr>
        <w:ind w:left="720" w:hanging="720"/>
        <w:rPr>
          <w:rStyle w:val="medium-font"/>
        </w:rPr>
      </w:pPr>
      <w:r w:rsidRPr="00140F67">
        <w:rPr>
          <w:rStyle w:val="FootnoteReference"/>
        </w:rPr>
        <w:footnoteRef/>
      </w:r>
      <w:r w:rsidRPr="00140F67">
        <w:t xml:space="preserve"> </w:t>
      </w:r>
      <w:r w:rsidRPr="00140F67">
        <w:rPr>
          <w:rStyle w:val="medium-font"/>
          <w:sz w:val="20"/>
          <w:szCs w:val="20"/>
        </w:rPr>
        <w:t>Culpepper, Hugo H. “</w:t>
      </w:r>
      <w:r w:rsidRPr="00140F67">
        <w:rPr>
          <w:rStyle w:val="title-link-wrapper"/>
          <w:sz w:val="20"/>
          <w:szCs w:val="20"/>
        </w:rPr>
        <w:t>Acts 4:12.</w:t>
      </w:r>
      <w:r w:rsidRPr="00140F67">
        <w:rPr>
          <w:sz w:val="20"/>
          <w:szCs w:val="20"/>
        </w:rPr>
        <w:t xml:space="preserve">” </w:t>
      </w:r>
      <w:r w:rsidRPr="00140F67">
        <w:rPr>
          <w:rStyle w:val="medium-font"/>
          <w:i/>
          <w:iCs/>
          <w:sz w:val="20"/>
          <w:szCs w:val="20"/>
        </w:rPr>
        <w:t>Review &amp; Expositor</w:t>
      </w:r>
      <w:r w:rsidRPr="00140F67">
        <w:rPr>
          <w:rStyle w:val="medium-font"/>
          <w:sz w:val="20"/>
          <w:szCs w:val="20"/>
        </w:rPr>
        <w:t xml:space="preserve"> 89, no. 1 (December 1992): 86.</w:t>
      </w:r>
    </w:p>
    <w:p w:rsidR="00150105" w:rsidRPr="00140F67" w:rsidRDefault="00150105" w:rsidP="00150105">
      <w:pPr>
        <w:pStyle w:val="FootnoteText"/>
      </w:pPr>
    </w:p>
  </w:footnote>
  <w:footnote w:id="3">
    <w:p w:rsidR="00F940AD" w:rsidRPr="00140F67" w:rsidRDefault="00F940AD" w:rsidP="0051737C">
      <w:pPr>
        <w:ind w:left="720" w:hanging="720"/>
        <w:rPr>
          <w:sz w:val="20"/>
          <w:szCs w:val="20"/>
        </w:rPr>
      </w:pPr>
      <w:r w:rsidRPr="00140F67">
        <w:rPr>
          <w:rStyle w:val="FootnoteReference"/>
        </w:rPr>
        <w:footnoteRef/>
      </w:r>
      <w:r w:rsidRPr="00140F67">
        <w:t xml:space="preserve"> </w:t>
      </w:r>
      <w:r w:rsidRPr="00140F67">
        <w:rPr>
          <w:sz w:val="20"/>
          <w:szCs w:val="20"/>
        </w:rPr>
        <w:t xml:space="preserve">Julia Ching. “No Other Name.” </w:t>
      </w:r>
      <w:r w:rsidRPr="00140F67">
        <w:rPr>
          <w:i/>
          <w:iCs/>
          <w:sz w:val="20"/>
          <w:szCs w:val="20"/>
        </w:rPr>
        <w:t>Japanese Journal of Religious Studies</w:t>
      </w:r>
      <w:r w:rsidRPr="00140F67">
        <w:rPr>
          <w:sz w:val="20"/>
          <w:szCs w:val="20"/>
        </w:rPr>
        <w:t xml:space="preserve"> 12, no. 2–3 (June 1985): 256.</w:t>
      </w:r>
    </w:p>
  </w:footnote>
  <w:footnote w:id="4">
    <w:p w:rsidR="0051737C" w:rsidRPr="00140F67" w:rsidRDefault="0051737C">
      <w:pPr>
        <w:pStyle w:val="FootnoteText"/>
      </w:pPr>
      <w:r w:rsidRPr="00140F67">
        <w:rPr>
          <w:rStyle w:val="FootnoteReference"/>
        </w:rPr>
        <w:footnoteRef/>
      </w:r>
      <w:r w:rsidRPr="00140F67">
        <w:t xml:space="preserve"> Ibid: 257</w:t>
      </w:r>
    </w:p>
  </w:footnote>
  <w:footnote w:id="5">
    <w:p w:rsidR="00F86643" w:rsidRPr="00140F67" w:rsidRDefault="00F86643">
      <w:pPr>
        <w:pStyle w:val="FootnoteText"/>
      </w:pPr>
      <w:r w:rsidRPr="00140F67">
        <w:rPr>
          <w:rStyle w:val="FootnoteReference"/>
        </w:rPr>
        <w:footnoteRef/>
      </w:r>
      <w:r w:rsidRPr="00140F67">
        <w:t xml:space="preserve"> Julia Ching. “No Other Name.” </w:t>
      </w:r>
      <w:r w:rsidRPr="00140F67">
        <w:rPr>
          <w:i/>
          <w:iCs/>
        </w:rPr>
        <w:t>Japanese Journal of Religious Studies</w:t>
      </w:r>
      <w:r w:rsidRPr="00140F67">
        <w:t xml:space="preserve"> 12, no. 2–3 (June 1985): 258.</w:t>
      </w:r>
    </w:p>
  </w:footnote>
  <w:footnote w:id="6">
    <w:p w:rsidR="007C034E" w:rsidRPr="00140F67" w:rsidRDefault="007C034E" w:rsidP="007C034E">
      <w:pPr>
        <w:ind w:left="720" w:hanging="720"/>
        <w:rPr>
          <w:b/>
          <w:bCs/>
          <w:sz w:val="20"/>
          <w:szCs w:val="20"/>
        </w:rPr>
      </w:pPr>
      <w:r w:rsidRPr="00140F67">
        <w:rPr>
          <w:rStyle w:val="FootnoteReference"/>
        </w:rPr>
        <w:footnoteRef/>
      </w:r>
      <w:r w:rsidRPr="00140F67">
        <w:t xml:space="preserve"> </w:t>
      </w:r>
      <w:r w:rsidRPr="00140F67">
        <w:rPr>
          <w:rStyle w:val="medium-font"/>
          <w:sz w:val="20"/>
          <w:szCs w:val="20"/>
        </w:rPr>
        <w:t xml:space="preserve">Bob Utley. “Luke the Historian: Acts.” </w:t>
      </w:r>
      <w:r w:rsidRPr="00140F67">
        <w:rPr>
          <w:rStyle w:val="medium-font"/>
          <w:i/>
          <w:sz w:val="20"/>
          <w:szCs w:val="20"/>
        </w:rPr>
        <w:t>The Study Bible Commentary Series, New Testament</w:t>
      </w:r>
      <w:r w:rsidRPr="00140F67">
        <w:rPr>
          <w:rStyle w:val="medium-font"/>
          <w:sz w:val="20"/>
          <w:szCs w:val="20"/>
        </w:rPr>
        <w:t xml:space="preserve">, 3B. (November 2012) </w:t>
      </w:r>
      <w:hyperlink r:id="rId1" w:history="1">
        <w:r w:rsidRPr="00140F67">
          <w:rPr>
            <w:rStyle w:val="Hyperlink"/>
            <w:color w:val="auto"/>
            <w:sz w:val="20"/>
            <w:szCs w:val="20"/>
          </w:rPr>
          <w:t>https://bible.org/seriespage/luke-historian-acts</w:t>
        </w:r>
      </w:hyperlink>
      <w:r w:rsidRPr="00140F67">
        <w:rPr>
          <w:rStyle w:val="medium-font"/>
          <w:sz w:val="20"/>
          <w:szCs w:val="20"/>
        </w:rPr>
        <w:t>.</w:t>
      </w:r>
    </w:p>
    <w:p w:rsidR="007C034E" w:rsidRPr="00140F67" w:rsidRDefault="007C034E" w:rsidP="007C034E">
      <w:pPr>
        <w:pStyle w:val="FootnoteText"/>
      </w:pPr>
    </w:p>
  </w:footnote>
  <w:footnote w:id="7">
    <w:p w:rsidR="00EC3D70" w:rsidRPr="00140F67" w:rsidRDefault="00EC3D70" w:rsidP="00B66776">
      <w:pPr>
        <w:ind w:left="720" w:hanging="720"/>
      </w:pPr>
      <w:r w:rsidRPr="00140F67">
        <w:rPr>
          <w:rStyle w:val="FootnoteReference"/>
        </w:rPr>
        <w:footnoteRef/>
      </w:r>
      <w:r w:rsidRPr="00140F67">
        <w:t xml:space="preserve"> </w:t>
      </w:r>
      <w:r w:rsidRPr="00140F67">
        <w:rPr>
          <w:sz w:val="20"/>
          <w:szCs w:val="20"/>
        </w:rPr>
        <w:t xml:space="preserve">Allan Aubrey Boesak. “In the Name of Jesus: Acts 4:12.” </w:t>
      </w:r>
      <w:r w:rsidRPr="00140F67">
        <w:rPr>
          <w:i/>
          <w:iCs/>
          <w:sz w:val="20"/>
          <w:szCs w:val="20"/>
        </w:rPr>
        <w:t>Journal of Theology for Southern Africa</w:t>
      </w:r>
      <w:r w:rsidR="00B11442" w:rsidRPr="00140F67">
        <w:rPr>
          <w:sz w:val="20"/>
          <w:szCs w:val="20"/>
        </w:rPr>
        <w:t xml:space="preserve"> 52 (September 1985): 49</w:t>
      </w:r>
      <w:r w:rsidRPr="00140F67">
        <w:rPr>
          <w:sz w:val="20"/>
          <w:szCs w:val="20"/>
        </w:rPr>
        <w:t>.</w:t>
      </w:r>
    </w:p>
  </w:footnote>
  <w:footnote w:id="8">
    <w:p w:rsidR="00B66776" w:rsidRPr="006F210B" w:rsidRDefault="00B66776" w:rsidP="006F210B">
      <w:pPr>
        <w:ind w:left="720" w:hanging="720"/>
        <w:rPr>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2" w:history="1">
        <w:r w:rsidRPr="00140F67">
          <w:rPr>
            <w:rStyle w:val="Hyperlink"/>
            <w:color w:val="auto"/>
            <w:sz w:val="20"/>
            <w:szCs w:val="20"/>
          </w:rPr>
          <w:t>http://www.soniclight.com/constable/notes/pdf/acts.pdf</w:t>
        </w:r>
      </w:hyperlink>
      <w:r w:rsidRPr="00140F67">
        <w:rPr>
          <w:sz w:val="20"/>
          <w:szCs w:val="20"/>
        </w:rPr>
        <w:t>.</w:t>
      </w:r>
    </w:p>
  </w:footnote>
  <w:footnote w:id="9">
    <w:p w:rsidR="006E26A4" w:rsidRPr="00140F67" w:rsidRDefault="006E26A4" w:rsidP="00D000FB">
      <w:pPr>
        <w:ind w:left="720" w:hanging="720"/>
        <w:rPr>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3" w:history="1">
        <w:r w:rsidRPr="00140F67">
          <w:rPr>
            <w:rStyle w:val="Hyperlink"/>
            <w:color w:val="auto"/>
            <w:sz w:val="20"/>
            <w:szCs w:val="20"/>
          </w:rPr>
          <w:t>http://www.soniclight.com/constable/notes/pdf/acts.pdf</w:t>
        </w:r>
      </w:hyperlink>
      <w:r w:rsidRPr="00140F67">
        <w:rPr>
          <w:sz w:val="20"/>
          <w:szCs w:val="20"/>
        </w:rPr>
        <w:t>.</w:t>
      </w:r>
    </w:p>
  </w:footnote>
  <w:footnote w:id="10">
    <w:p w:rsidR="00C82394" w:rsidRPr="00140F67" w:rsidRDefault="00C82394" w:rsidP="00C82394">
      <w:pPr>
        <w:pStyle w:val="Bibliography"/>
        <w:ind w:left="720" w:hanging="720"/>
        <w:rPr>
          <w:rFonts w:ascii="Times New Roman" w:hAnsi="Times New Roman" w:cs="Times New Roman"/>
          <w:sz w:val="20"/>
          <w:szCs w:val="20"/>
        </w:rPr>
      </w:pPr>
      <w:r w:rsidRPr="00140F67">
        <w:rPr>
          <w:rStyle w:val="FootnoteReference"/>
        </w:rPr>
        <w:footnoteRef/>
      </w:r>
      <w:r w:rsidRPr="00140F67">
        <w:t xml:space="preserve"> </w:t>
      </w:r>
      <w:r w:rsidR="00685250" w:rsidRPr="00140F67">
        <w:rPr>
          <w:rFonts w:ascii="Times New Roman" w:hAnsi="Times New Roman" w:cs="Times New Roman"/>
          <w:sz w:val="20"/>
          <w:szCs w:val="20"/>
        </w:rPr>
        <w:fldChar w:fldCharType="begin"/>
      </w:r>
      <w:r w:rsidRPr="00140F67">
        <w:rPr>
          <w:rFonts w:ascii="Times New Roman" w:hAnsi="Times New Roman" w:cs="Times New Roman"/>
          <w:sz w:val="20"/>
          <w:szCs w:val="20"/>
        </w:rPr>
        <w:instrText xml:space="preserve"> BIBLIOGRAPHY  \l 1033 </w:instrText>
      </w:r>
      <w:r w:rsidR="00685250" w:rsidRPr="00140F67">
        <w:rPr>
          <w:rFonts w:ascii="Times New Roman" w:hAnsi="Times New Roman" w:cs="Times New Roman"/>
          <w:sz w:val="20"/>
          <w:szCs w:val="20"/>
        </w:rPr>
        <w:fldChar w:fldCharType="separate"/>
      </w:r>
      <w:r w:rsidRPr="00140F67">
        <w:rPr>
          <w:rFonts w:ascii="Times New Roman" w:hAnsi="Times New Roman" w:cs="Times New Roman"/>
          <w:noProof/>
          <w:sz w:val="20"/>
          <w:szCs w:val="20"/>
        </w:rPr>
        <w:t xml:space="preserve">John  Polhill. </w:t>
      </w:r>
      <w:r w:rsidRPr="00140F67">
        <w:rPr>
          <w:rFonts w:ascii="Times New Roman" w:hAnsi="Times New Roman" w:cs="Times New Roman"/>
          <w:i/>
          <w:iCs/>
          <w:noProof/>
          <w:sz w:val="20"/>
          <w:szCs w:val="20"/>
        </w:rPr>
        <w:t>The New American Comentary: Acts.</w:t>
      </w:r>
      <w:r w:rsidRPr="00140F67">
        <w:rPr>
          <w:rFonts w:ascii="Times New Roman" w:hAnsi="Times New Roman" w:cs="Times New Roman"/>
          <w:noProof/>
          <w:sz w:val="20"/>
          <w:szCs w:val="20"/>
        </w:rPr>
        <w:t xml:space="preserve"> Vol. 26. (Nashville: B&amp;H Publishing Group), 1992.</w:t>
      </w:r>
      <w:r w:rsidR="00685250" w:rsidRPr="00140F67">
        <w:rPr>
          <w:rFonts w:ascii="Times New Roman" w:hAnsi="Times New Roman" w:cs="Times New Roman"/>
          <w:sz w:val="20"/>
          <w:szCs w:val="20"/>
        </w:rPr>
        <w:fldChar w:fldCharType="end"/>
      </w:r>
    </w:p>
    <w:p w:rsidR="00C82394" w:rsidRPr="00140F67" w:rsidRDefault="00C82394">
      <w:pPr>
        <w:pStyle w:val="FootnoteText"/>
      </w:pPr>
    </w:p>
  </w:footnote>
  <w:footnote w:id="11">
    <w:p w:rsidR="000575AE" w:rsidRPr="00140F67" w:rsidRDefault="000575AE">
      <w:pPr>
        <w:pStyle w:val="FootnoteText"/>
      </w:pPr>
      <w:r w:rsidRPr="00140F67">
        <w:rPr>
          <w:rStyle w:val="FootnoteReference"/>
        </w:rPr>
        <w:footnoteRef/>
      </w:r>
      <w:r w:rsidRPr="00140F67">
        <w:t xml:space="preserve"> Ibi</w:t>
      </w:r>
      <w:r w:rsidR="00735146" w:rsidRPr="00140F67">
        <w: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92"/>
      <w:docPartObj>
        <w:docPartGallery w:val="Page Numbers (Top of Page)"/>
        <w:docPartUnique/>
      </w:docPartObj>
    </w:sdtPr>
    <w:sdtContent>
      <w:p w:rsidR="005F3C46" w:rsidRDefault="00685250" w:rsidP="005F3C46">
        <w:pPr>
          <w:pStyle w:val="Header"/>
          <w:jc w:val="right"/>
        </w:pPr>
        <w:fldSimple w:instr=" PAGE   \* MERGEFORMAT ">
          <w:r w:rsidR="000A1536">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0A1C"/>
    <w:rsid w:val="00000659"/>
    <w:rsid w:val="000075E6"/>
    <w:rsid w:val="00021458"/>
    <w:rsid w:val="00030F0D"/>
    <w:rsid w:val="00031592"/>
    <w:rsid w:val="00041CB3"/>
    <w:rsid w:val="00046E44"/>
    <w:rsid w:val="000575AE"/>
    <w:rsid w:val="00080900"/>
    <w:rsid w:val="00090B1E"/>
    <w:rsid w:val="00097725"/>
    <w:rsid w:val="000A1536"/>
    <w:rsid w:val="000B0C13"/>
    <w:rsid w:val="000C2823"/>
    <w:rsid w:val="000D07D3"/>
    <w:rsid w:val="000D5996"/>
    <w:rsid w:val="000E0D06"/>
    <w:rsid w:val="000E4EBD"/>
    <w:rsid w:val="00103429"/>
    <w:rsid w:val="0011196C"/>
    <w:rsid w:val="00112156"/>
    <w:rsid w:val="00126812"/>
    <w:rsid w:val="00140F67"/>
    <w:rsid w:val="00150105"/>
    <w:rsid w:val="00152519"/>
    <w:rsid w:val="00155233"/>
    <w:rsid w:val="0017321F"/>
    <w:rsid w:val="001771FF"/>
    <w:rsid w:val="00180195"/>
    <w:rsid w:val="001860C7"/>
    <w:rsid w:val="00195508"/>
    <w:rsid w:val="001A0973"/>
    <w:rsid w:val="001A1573"/>
    <w:rsid w:val="001B27F8"/>
    <w:rsid w:val="001C02EB"/>
    <w:rsid w:val="001E07CE"/>
    <w:rsid w:val="001E66ED"/>
    <w:rsid w:val="001F682D"/>
    <w:rsid w:val="001F6B5E"/>
    <w:rsid w:val="002125FE"/>
    <w:rsid w:val="002166BE"/>
    <w:rsid w:val="0021772C"/>
    <w:rsid w:val="00251585"/>
    <w:rsid w:val="00253292"/>
    <w:rsid w:val="00261E92"/>
    <w:rsid w:val="00293697"/>
    <w:rsid w:val="002964AA"/>
    <w:rsid w:val="002A4085"/>
    <w:rsid w:val="002C38AD"/>
    <w:rsid w:val="002C60A3"/>
    <w:rsid w:val="002D2B9F"/>
    <w:rsid w:val="00300B21"/>
    <w:rsid w:val="00311BD4"/>
    <w:rsid w:val="00320491"/>
    <w:rsid w:val="00321DCE"/>
    <w:rsid w:val="003236A8"/>
    <w:rsid w:val="003247F7"/>
    <w:rsid w:val="00332847"/>
    <w:rsid w:val="0034356C"/>
    <w:rsid w:val="003629A4"/>
    <w:rsid w:val="003679BF"/>
    <w:rsid w:val="003709F0"/>
    <w:rsid w:val="00372580"/>
    <w:rsid w:val="00397E20"/>
    <w:rsid w:val="003A0076"/>
    <w:rsid w:val="003A5BE6"/>
    <w:rsid w:val="003A7AE4"/>
    <w:rsid w:val="003B5BAF"/>
    <w:rsid w:val="003E28E0"/>
    <w:rsid w:val="003E4072"/>
    <w:rsid w:val="003E6C9A"/>
    <w:rsid w:val="003F2D7B"/>
    <w:rsid w:val="003F4D2E"/>
    <w:rsid w:val="0040732E"/>
    <w:rsid w:val="0041625E"/>
    <w:rsid w:val="004169D1"/>
    <w:rsid w:val="00427630"/>
    <w:rsid w:val="00435E2E"/>
    <w:rsid w:val="0044001A"/>
    <w:rsid w:val="00446D62"/>
    <w:rsid w:val="00454791"/>
    <w:rsid w:val="004558C4"/>
    <w:rsid w:val="00470776"/>
    <w:rsid w:val="0047532B"/>
    <w:rsid w:val="004A7D43"/>
    <w:rsid w:val="004B1074"/>
    <w:rsid w:val="004B3A24"/>
    <w:rsid w:val="004C07D5"/>
    <w:rsid w:val="004C39F8"/>
    <w:rsid w:val="004D6E33"/>
    <w:rsid w:val="004F1D6F"/>
    <w:rsid w:val="004F287A"/>
    <w:rsid w:val="004F3913"/>
    <w:rsid w:val="004F6688"/>
    <w:rsid w:val="005007DF"/>
    <w:rsid w:val="00504F54"/>
    <w:rsid w:val="00507C83"/>
    <w:rsid w:val="00516CF4"/>
    <w:rsid w:val="0051737C"/>
    <w:rsid w:val="005201D3"/>
    <w:rsid w:val="00520D64"/>
    <w:rsid w:val="00524002"/>
    <w:rsid w:val="005317CC"/>
    <w:rsid w:val="00557181"/>
    <w:rsid w:val="00570D88"/>
    <w:rsid w:val="00572B90"/>
    <w:rsid w:val="00573C5C"/>
    <w:rsid w:val="00576CBF"/>
    <w:rsid w:val="005A1DF5"/>
    <w:rsid w:val="005C03D0"/>
    <w:rsid w:val="005D79F8"/>
    <w:rsid w:val="005F3C46"/>
    <w:rsid w:val="005F4E75"/>
    <w:rsid w:val="005F54E8"/>
    <w:rsid w:val="00605CE2"/>
    <w:rsid w:val="0063020E"/>
    <w:rsid w:val="006547AF"/>
    <w:rsid w:val="00654E02"/>
    <w:rsid w:val="00663925"/>
    <w:rsid w:val="006851BA"/>
    <w:rsid w:val="00685250"/>
    <w:rsid w:val="006920C7"/>
    <w:rsid w:val="006A5ED5"/>
    <w:rsid w:val="006B435C"/>
    <w:rsid w:val="006B54E7"/>
    <w:rsid w:val="006B64BB"/>
    <w:rsid w:val="006C2C75"/>
    <w:rsid w:val="006C4CD8"/>
    <w:rsid w:val="006C62CD"/>
    <w:rsid w:val="006E12BF"/>
    <w:rsid w:val="006E26A4"/>
    <w:rsid w:val="006E7994"/>
    <w:rsid w:val="006F210B"/>
    <w:rsid w:val="00701341"/>
    <w:rsid w:val="007067D2"/>
    <w:rsid w:val="00713CB5"/>
    <w:rsid w:val="00716D0D"/>
    <w:rsid w:val="0073012B"/>
    <w:rsid w:val="00735146"/>
    <w:rsid w:val="00740C3A"/>
    <w:rsid w:val="00741722"/>
    <w:rsid w:val="00746915"/>
    <w:rsid w:val="00747C11"/>
    <w:rsid w:val="00775CAE"/>
    <w:rsid w:val="00791085"/>
    <w:rsid w:val="00795F03"/>
    <w:rsid w:val="007A4B9D"/>
    <w:rsid w:val="007A6615"/>
    <w:rsid w:val="007B4E5D"/>
    <w:rsid w:val="007B77B8"/>
    <w:rsid w:val="007C034E"/>
    <w:rsid w:val="007C135F"/>
    <w:rsid w:val="007C270E"/>
    <w:rsid w:val="007D4A05"/>
    <w:rsid w:val="0081096F"/>
    <w:rsid w:val="00824749"/>
    <w:rsid w:val="00831FF3"/>
    <w:rsid w:val="00837EAF"/>
    <w:rsid w:val="008465A4"/>
    <w:rsid w:val="00852240"/>
    <w:rsid w:val="00853473"/>
    <w:rsid w:val="00856A7C"/>
    <w:rsid w:val="008642BE"/>
    <w:rsid w:val="00871DEA"/>
    <w:rsid w:val="00886885"/>
    <w:rsid w:val="008A05E5"/>
    <w:rsid w:val="008A5849"/>
    <w:rsid w:val="008B4FC0"/>
    <w:rsid w:val="008B756C"/>
    <w:rsid w:val="009134C0"/>
    <w:rsid w:val="0091666A"/>
    <w:rsid w:val="00920D4A"/>
    <w:rsid w:val="009229C6"/>
    <w:rsid w:val="00931C66"/>
    <w:rsid w:val="00932E4E"/>
    <w:rsid w:val="009330B5"/>
    <w:rsid w:val="00933711"/>
    <w:rsid w:val="0094343A"/>
    <w:rsid w:val="00952674"/>
    <w:rsid w:val="009626D8"/>
    <w:rsid w:val="00986D29"/>
    <w:rsid w:val="00992B82"/>
    <w:rsid w:val="0099631B"/>
    <w:rsid w:val="009B0679"/>
    <w:rsid w:val="009B6768"/>
    <w:rsid w:val="009B6860"/>
    <w:rsid w:val="009C64B2"/>
    <w:rsid w:val="009D2531"/>
    <w:rsid w:val="009E27DE"/>
    <w:rsid w:val="00A14F90"/>
    <w:rsid w:val="00A40EBA"/>
    <w:rsid w:val="00A47F8F"/>
    <w:rsid w:val="00A5719C"/>
    <w:rsid w:val="00A620C2"/>
    <w:rsid w:val="00A64ABB"/>
    <w:rsid w:val="00A714BD"/>
    <w:rsid w:val="00A823AE"/>
    <w:rsid w:val="00A82F5A"/>
    <w:rsid w:val="00AB5BF4"/>
    <w:rsid w:val="00B10DFB"/>
    <w:rsid w:val="00B11442"/>
    <w:rsid w:val="00B132F0"/>
    <w:rsid w:val="00B35008"/>
    <w:rsid w:val="00B44A7D"/>
    <w:rsid w:val="00B52C50"/>
    <w:rsid w:val="00B52DEF"/>
    <w:rsid w:val="00B66776"/>
    <w:rsid w:val="00B72B55"/>
    <w:rsid w:val="00B7488A"/>
    <w:rsid w:val="00B7676E"/>
    <w:rsid w:val="00B943C1"/>
    <w:rsid w:val="00BA45E6"/>
    <w:rsid w:val="00BB55CD"/>
    <w:rsid w:val="00BC0A1C"/>
    <w:rsid w:val="00BC7E94"/>
    <w:rsid w:val="00BE2731"/>
    <w:rsid w:val="00C01B18"/>
    <w:rsid w:val="00C1146B"/>
    <w:rsid w:val="00C2486F"/>
    <w:rsid w:val="00C27826"/>
    <w:rsid w:val="00C33676"/>
    <w:rsid w:val="00C44D54"/>
    <w:rsid w:val="00C44F5B"/>
    <w:rsid w:val="00C80222"/>
    <w:rsid w:val="00C82394"/>
    <w:rsid w:val="00C9175C"/>
    <w:rsid w:val="00C96772"/>
    <w:rsid w:val="00CB68D0"/>
    <w:rsid w:val="00CD28A9"/>
    <w:rsid w:val="00CD3198"/>
    <w:rsid w:val="00CD6197"/>
    <w:rsid w:val="00CE6958"/>
    <w:rsid w:val="00CE7A28"/>
    <w:rsid w:val="00D000FB"/>
    <w:rsid w:val="00D22988"/>
    <w:rsid w:val="00D244B6"/>
    <w:rsid w:val="00D35B34"/>
    <w:rsid w:val="00D4080D"/>
    <w:rsid w:val="00D41779"/>
    <w:rsid w:val="00D64701"/>
    <w:rsid w:val="00D93721"/>
    <w:rsid w:val="00D95287"/>
    <w:rsid w:val="00DA1548"/>
    <w:rsid w:val="00DD33BC"/>
    <w:rsid w:val="00DD36E3"/>
    <w:rsid w:val="00DD47F5"/>
    <w:rsid w:val="00DD6A10"/>
    <w:rsid w:val="00DE5BA6"/>
    <w:rsid w:val="00DE5BD0"/>
    <w:rsid w:val="00DF2A9F"/>
    <w:rsid w:val="00E05E14"/>
    <w:rsid w:val="00E2677D"/>
    <w:rsid w:val="00E40585"/>
    <w:rsid w:val="00E52830"/>
    <w:rsid w:val="00E5362F"/>
    <w:rsid w:val="00E539B3"/>
    <w:rsid w:val="00E67CA1"/>
    <w:rsid w:val="00E73F39"/>
    <w:rsid w:val="00E85776"/>
    <w:rsid w:val="00E92031"/>
    <w:rsid w:val="00E92C03"/>
    <w:rsid w:val="00E94C98"/>
    <w:rsid w:val="00EA29ED"/>
    <w:rsid w:val="00EB0B8F"/>
    <w:rsid w:val="00EB0C45"/>
    <w:rsid w:val="00EB3C06"/>
    <w:rsid w:val="00EC2EC3"/>
    <w:rsid w:val="00EC3D70"/>
    <w:rsid w:val="00ED27AA"/>
    <w:rsid w:val="00ED66CC"/>
    <w:rsid w:val="00ED76F8"/>
    <w:rsid w:val="00EE7D93"/>
    <w:rsid w:val="00EF00D4"/>
    <w:rsid w:val="00F005E0"/>
    <w:rsid w:val="00F204CA"/>
    <w:rsid w:val="00F23893"/>
    <w:rsid w:val="00F3373A"/>
    <w:rsid w:val="00F56FE8"/>
    <w:rsid w:val="00F63B5E"/>
    <w:rsid w:val="00F659BD"/>
    <w:rsid w:val="00F85AC1"/>
    <w:rsid w:val="00F86241"/>
    <w:rsid w:val="00F86643"/>
    <w:rsid w:val="00F904D9"/>
    <w:rsid w:val="00F905FB"/>
    <w:rsid w:val="00F940AD"/>
    <w:rsid w:val="00FA490C"/>
    <w:rsid w:val="00FA70F2"/>
    <w:rsid w:val="00FB6A94"/>
    <w:rsid w:val="00FC70B4"/>
    <w:rsid w:val="00FE5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46"/>
  </w:style>
  <w:style w:type="paragraph" w:styleId="Footer">
    <w:name w:val="footer"/>
    <w:basedOn w:val="Normal"/>
    <w:link w:val="FooterChar"/>
    <w:uiPriority w:val="99"/>
    <w:semiHidden/>
    <w:unhideWhenUsed/>
    <w:rsid w:val="005F3C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3C46"/>
  </w:style>
  <w:style w:type="character" w:styleId="Hyperlink">
    <w:name w:val="Hyperlink"/>
    <w:basedOn w:val="DefaultParagraphFont"/>
    <w:uiPriority w:val="99"/>
    <w:unhideWhenUsed/>
    <w:rsid w:val="007D4A05"/>
    <w:rPr>
      <w:color w:val="0000FF"/>
      <w:u w:val="single"/>
    </w:rPr>
  </w:style>
  <w:style w:type="character" w:customStyle="1" w:styleId="title-link-wrapper">
    <w:name w:val="title-link-wrapper"/>
    <w:basedOn w:val="DefaultParagraphFont"/>
    <w:rsid w:val="007D4A05"/>
  </w:style>
  <w:style w:type="character" w:customStyle="1" w:styleId="medium-font">
    <w:name w:val="medium-font"/>
    <w:basedOn w:val="DefaultParagraphFont"/>
    <w:rsid w:val="007D4A05"/>
  </w:style>
  <w:style w:type="paragraph" w:styleId="Bibliography">
    <w:name w:val="Bibliography"/>
    <w:basedOn w:val="Normal"/>
    <w:next w:val="Normal"/>
    <w:uiPriority w:val="37"/>
    <w:unhideWhenUsed/>
    <w:rsid w:val="007D4A05"/>
    <w:pPr>
      <w:spacing w:after="0" w:line="240" w:lineRule="auto"/>
    </w:pPr>
    <w:rPr>
      <w:rFonts w:ascii="Calibri" w:hAnsi="Calibri" w:cs="Calibri"/>
      <w:sz w:val="22"/>
      <w:szCs w:val="22"/>
    </w:rPr>
  </w:style>
  <w:style w:type="paragraph" w:styleId="FootnoteText">
    <w:name w:val="footnote text"/>
    <w:basedOn w:val="Normal"/>
    <w:link w:val="FootnoteTextChar"/>
    <w:uiPriority w:val="99"/>
    <w:semiHidden/>
    <w:unhideWhenUsed/>
    <w:rsid w:val="00F94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0AD"/>
    <w:rPr>
      <w:sz w:val="20"/>
      <w:szCs w:val="20"/>
    </w:rPr>
  </w:style>
  <w:style w:type="character" w:styleId="FootnoteReference">
    <w:name w:val="footnote reference"/>
    <w:basedOn w:val="DefaultParagraphFont"/>
    <w:uiPriority w:val="99"/>
    <w:semiHidden/>
    <w:unhideWhenUsed/>
    <w:rsid w:val="00F940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e.org/seriespage/luke-historian-acts" TargetMode="External"/><Relationship Id="rId3" Type="http://schemas.openxmlformats.org/officeDocument/2006/relationships/settings" Target="settings.xml"/><Relationship Id="rId7" Type="http://schemas.openxmlformats.org/officeDocument/2006/relationships/hyperlink" Target="http://www.soniclight.com/constable/notes/pdf/act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oniclight.com/constable/notes/pdf/acts.pdf" TargetMode="External"/><Relationship Id="rId2" Type="http://schemas.openxmlformats.org/officeDocument/2006/relationships/hyperlink" Target="http://www.soniclight.com/constable/notes/pdf/acts.pdf" TargetMode="External"/><Relationship Id="rId1" Type="http://schemas.openxmlformats.org/officeDocument/2006/relationships/hyperlink" Target="https://bible.org/seriespage/luke-historian-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Pol92</b:Tag>
    <b:SourceType>Book</b:SourceType>
    <b:Guid>{87B6DE80-939D-4F89-BE76-8ACBA80EA265}</b:Guid>
    <b:LCID>0</b:LCID>
    <b:Author>
      <b:Author>
        <b:NameList>
          <b:Person>
            <b:Last>Polhill</b:Last>
            <b:First>John</b:First>
            <b:Middle>C.</b:Middle>
          </b:Person>
        </b:NameList>
      </b:Author>
    </b:Author>
    <b:Title>The New American Comentary: Acts</b:Title>
    <b:Year>1992</b:Year>
    <b:City>Nashville</b:City>
    <b:Publisher>B&amp;H Publishing Group</b:Publisher>
    <b:Volume>26</b:Volume>
    <b:RefOrder>1</b:RefOrder>
  </b:Source>
</b:Sources>
</file>

<file path=customXml/itemProps1.xml><?xml version="1.0" encoding="utf-8"?>
<ds:datastoreItem xmlns:ds="http://schemas.openxmlformats.org/officeDocument/2006/customXml" ds:itemID="{F86446FB-0AD4-42D0-BC53-188D276C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380</cp:revision>
  <dcterms:created xsi:type="dcterms:W3CDTF">2017-03-07T21:42:00Z</dcterms:created>
  <dcterms:modified xsi:type="dcterms:W3CDTF">2017-03-09T10:08:00Z</dcterms:modified>
</cp:coreProperties>
</file>