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5C79" w:rsidRPr="00E933DA" w:rsidRDefault="000E5C79" w:rsidP="00A6221E">
      <w:pPr>
        <w:spacing w:line="480" w:lineRule="auto"/>
        <w:jc w:val="center"/>
        <w:rPr>
          <w:rFonts w:cs="Times New Roman"/>
          <w:szCs w:val="24"/>
        </w:rPr>
      </w:pPr>
      <w:bookmarkStart w:id="0" w:name="_GoBack"/>
      <w:bookmarkEnd w:id="0"/>
    </w:p>
    <w:p w:rsidR="000E5C79" w:rsidRDefault="000E5C79" w:rsidP="00A6221E">
      <w:pPr>
        <w:spacing w:line="480" w:lineRule="auto"/>
        <w:jc w:val="center"/>
      </w:pPr>
    </w:p>
    <w:p w:rsidR="00A6221E" w:rsidRDefault="00A6221E" w:rsidP="00A6221E">
      <w:pPr>
        <w:spacing w:line="480" w:lineRule="auto"/>
        <w:jc w:val="center"/>
      </w:pPr>
    </w:p>
    <w:p w:rsidR="00A6221E" w:rsidRDefault="00A6221E" w:rsidP="00A6221E">
      <w:pPr>
        <w:spacing w:line="480" w:lineRule="auto"/>
        <w:jc w:val="center"/>
      </w:pPr>
    </w:p>
    <w:p w:rsidR="00A6221E" w:rsidRDefault="00A6221E" w:rsidP="00A6221E">
      <w:pPr>
        <w:spacing w:line="480" w:lineRule="auto"/>
        <w:jc w:val="center"/>
      </w:pPr>
    </w:p>
    <w:p w:rsidR="00A6221E" w:rsidRDefault="00A6221E" w:rsidP="00A6221E">
      <w:pPr>
        <w:spacing w:line="480" w:lineRule="auto"/>
        <w:jc w:val="center"/>
      </w:pPr>
    </w:p>
    <w:p w:rsidR="00A6221E" w:rsidRDefault="00A6221E" w:rsidP="00A6221E">
      <w:pPr>
        <w:spacing w:line="480" w:lineRule="auto"/>
        <w:jc w:val="center"/>
      </w:pPr>
    </w:p>
    <w:p w:rsidR="00A6221E" w:rsidRDefault="00A6221E" w:rsidP="00A6221E">
      <w:pPr>
        <w:spacing w:line="480" w:lineRule="auto"/>
        <w:jc w:val="center"/>
      </w:pPr>
    </w:p>
    <w:p w:rsidR="00A6221E" w:rsidRDefault="00A6221E" w:rsidP="00A6221E">
      <w:pPr>
        <w:spacing w:line="480" w:lineRule="auto"/>
        <w:jc w:val="center"/>
      </w:pPr>
    </w:p>
    <w:p w:rsidR="00A6221E" w:rsidRDefault="00A6221E" w:rsidP="00A6221E">
      <w:pPr>
        <w:spacing w:line="480" w:lineRule="auto"/>
        <w:jc w:val="center"/>
      </w:pPr>
    </w:p>
    <w:p w:rsidR="00A6221E" w:rsidRDefault="00A6221E" w:rsidP="00A6221E">
      <w:pPr>
        <w:spacing w:line="480" w:lineRule="auto"/>
        <w:jc w:val="center"/>
      </w:pPr>
    </w:p>
    <w:p w:rsidR="000E5C79" w:rsidRDefault="000E5C79" w:rsidP="00A6221E">
      <w:pPr>
        <w:spacing w:line="480" w:lineRule="auto"/>
        <w:jc w:val="center"/>
      </w:pPr>
      <w:r>
        <w:t>Military Intervention</w:t>
      </w:r>
    </w:p>
    <w:p w:rsidR="000E5C79" w:rsidRPr="00E933DA" w:rsidRDefault="000E5C79" w:rsidP="00A6221E">
      <w:pPr>
        <w:spacing w:line="480" w:lineRule="auto"/>
        <w:jc w:val="center"/>
        <w:rPr>
          <w:rFonts w:cs="Times New Roman"/>
          <w:szCs w:val="24"/>
        </w:rPr>
      </w:pPr>
      <w:r w:rsidRPr="00E933DA">
        <w:rPr>
          <w:rFonts w:cs="Times New Roman"/>
          <w:szCs w:val="24"/>
        </w:rPr>
        <w:t>Professor’s Name</w:t>
      </w:r>
    </w:p>
    <w:p w:rsidR="000E5C79" w:rsidRPr="00E933DA" w:rsidRDefault="000E5C79" w:rsidP="00A6221E">
      <w:pPr>
        <w:spacing w:line="480" w:lineRule="auto"/>
        <w:jc w:val="center"/>
        <w:rPr>
          <w:rFonts w:cs="Times New Roman"/>
          <w:szCs w:val="24"/>
        </w:rPr>
      </w:pPr>
      <w:r w:rsidRPr="00E933DA">
        <w:rPr>
          <w:rFonts w:cs="Times New Roman"/>
          <w:szCs w:val="24"/>
        </w:rPr>
        <w:t>University</w:t>
      </w:r>
    </w:p>
    <w:p w:rsidR="000E5C79" w:rsidRDefault="000E5C79" w:rsidP="00A6221E">
      <w:pPr>
        <w:spacing w:line="480" w:lineRule="auto"/>
        <w:jc w:val="center"/>
        <w:rPr>
          <w:rFonts w:cs="Times New Roman"/>
          <w:szCs w:val="24"/>
        </w:rPr>
      </w:pPr>
      <w:r w:rsidRPr="00E933DA">
        <w:rPr>
          <w:rFonts w:cs="Times New Roman"/>
          <w:szCs w:val="24"/>
        </w:rPr>
        <w:t>The City and State</w:t>
      </w:r>
    </w:p>
    <w:p w:rsidR="000E5C79" w:rsidRDefault="000E5C79" w:rsidP="00A6221E">
      <w:pPr>
        <w:spacing w:line="480" w:lineRule="auto"/>
        <w:jc w:val="center"/>
      </w:pPr>
    </w:p>
    <w:p w:rsidR="00A6221E" w:rsidRDefault="00A6221E" w:rsidP="00A6221E">
      <w:pPr>
        <w:spacing w:line="480" w:lineRule="auto"/>
        <w:jc w:val="center"/>
      </w:pPr>
    </w:p>
    <w:p w:rsidR="00E1036D" w:rsidRDefault="003D3FC8" w:rsidP="00A6221E">
      <w:pPr>
        <w:spacing w:line="480" w:lineRule="auto"/>
        <w:jc w:val="center"/>
      </w:pPr>
      <w:r>
        <w:lastRenderedPageBreak/>
        <w:t>Military Intervention</w:t>
      </w:r>
    </w:p>
    <w:p w:rsidR="00A6221E" w:rsidRDefault="00A6221E" w:rsidP="00A6221E">
      <w:pPr>
        <w:spacing w:line="480" w:lineRule="auto"/>
        <w:ind w:firstLine="720"/>
      </w:pPr>
      <w:r w:rsidRPr="00A6221E">
        <w:t>The Setup: Consider this fictional example:  “Underland is a country ruled by an authoritarian dictator, who maintains power with the help of an elite minority of citizens. The wealth produced from Underland’s natural resources is directed to this same elite, who enrich themselves at the expense of the vast majority of citizens. Although the dictator belongs to the same religion and ethnicity as the vast majority of the citizenry, the majority of citizens disapprove of his rule. They would gladly vote him out of power—if only Underland were a genuine democracy! Instead, only the ruling party is permitted to appear on the election ballot. Although peaceful protests occasionally break out, dissenters are rounded up and imprisoned in accordance with the security laws of Underland. The most vocal dissenters are tortured. In all, although the dictator of Underland does not go so far as to enslave or massacre his people, there is an international consensus that his regime routinely violates important human rights. Because of the military strength of the state in Underland, it is very unlikely the citizens themselves could ever overthrow the dictator. To do overthrow him, they would need a good deal of military help from foreign countries sympathetic to their plight. Nevertheless, some Underlanders have been building a rebel force. There is little question that the rebels genuinely aim to replace the dictatorship with a free and democratic state that respects human rights. They have reached out to Australia and asked that Australia provide them with an armoured division and air support as they attack the Underland capital.”</w:t>
      </w:r>
    </w:p>
    <w:p w:rsidR="004D14C1" w:rsidRDefault="008535C0" w:rsidP="00A6221E">
      <w:pPr>
        <w:spacing w:line="480" w:lineRule="auto"/>
        <w:ind w:firstLine="720"/>
      </w:pPr>
      <w:r>
        <w:t xml:space="preserve">In this case, it would morally permissible or it would be a moral requirement for Australia to give the rebels of Underland military aid in order to fight the dictator. The main reason is that the dictator has failed to lead the country in a manner which does not involve human suffering. Based on the atrocities associated to anyone who resists his rule, it would seem </w:t>
      </w:r>
      <w:r>
        <w:lastRenderedPageBreak/>
        <w:t>that similar atrocities or even greater atrocities could occur in the future. Additionally, the people of Underland have already taken arms against the dictator meaning that they are suffering. Firstly, all the wealth from public or natural resources is directed to the elite and the dictator. This illustrates a gross violation of human rights and even natural law. Nobody or even a group people should be allowed to consume or reap from natural resources as it goes to place others in suffering for sel</w:t>
      </w:r>
      <w:r w:rsidR="00A561F2">
        <w:t xml:space="preserve">fish and unjustifiable reasons. </w:t>
      </w:r>
      <w:r w:rsidR="004D14C1">
        <w:t>Most military inventions occur when there I gross or large-scale violation of human rights</w:t>
      </w:r>
      <w:r w:rsidR="00B91E00">
        <w:t xml:space="preserve"> (</w:t>
      </w:r>
      <w:r w:rsidR="00B91E00">
        <w:rPr>
          <w:rFonts w:eastAsia="Times New Roman" w:cs="Times New Roman"/>
          <w:color w:val="auto"/>
          <w:szCs w:val="24"/>
        </w:rPr>
        <w:t>Donnelly,</w:t>
      </w:r>
      <w:r w:rsidR="00B91E00" w:rsidRPr="007165B6">
        <w:rPr>
          <w:rFonts w:eastAsia="Times New Roman" w:cs="Times New Roman"/>
          <w:color w:val="auto"/>
          <w:szCs w:val="24"/>
        </w:rPr>
        <w:t xml:space="preserve"> 2013</w:t>
      </w:r>
      <w:r w:rsidR="00B91E00">
        <w:rPr>
          <w:rFonts w:eastAsia="Times New Roman" w:cs="Times New Roman"/>
          <w:color w:val="auto"/>
          <w:szCs w:val="24"/>
        </w:rPr>
        <w:t>, p. 124)</w:t>
      </w:r>
      <w:r w:rsidR="004D14C1">
        <w:t>. Nonetheless, the world is changing and issues such as human rights are more paramount than ever before. The world has gone through much in terms of such cases where countries were colonized and later gained independence. Therefore, in this day and era, such dictatorship should not be tolerated since it violates the basic human right of freedom or liberty.</w:t>
      </w:r>
    </w:p>
    <w:p w:rsidR="00247C5F" w:rsidRDefault="00247C5F" w:rsidP="00A6221E">
      <w:pPr>
        <w:spacing w:line="480" w:lineRule="auto"/>
        <w:ind w:firstLine="720"/>
      </w:pPr>
      <w:r>
        <w:t>According to Walzer</w:t>
      </w:r>
      <w:r w:rsidR="007165B6">
        <w:t xml:space="preserve"> (2015, p. 15)</w:t>
      </w:r>
      <w:r>
        <w:t>, the beginning of any war is based on a threat. War is viewed as aggression and that aggression arises when there is an imminent threat to a state or its members. Threats are different based on numerous reasons. In this case, the threat is based on the past and future of Underland. The people of Underland look up to the future and do not see anything changing, which to the rebels equates a threat to their fundamental freedoms. Although the dictator does not massacre his people, there is clear indication of using force to coerce or force members to abide by his rules and regulations. In fact, this is a sort or tyranny. Walzer specifies that wars are likely to occur in states rules by dynasties rather than democratic states</w:t>
      </w:r>
      <w:r w:rsidR="00335167">
        <w:t xml:space="preserve"> (2015, p. 25)</w:t>
      </w:r>
      <w:r>
        <w:t xml:space="preserve">. Therefore, it is clear that the people of Underland perceive the dictator and his leadership as a threat to their future progress. In one way or </w:t>
      </w:r>
      <w:r w:rsidR="005934FB">
        <w:t>another</w:t>
      </w:r>
      <w:r>
        <w:t xml:space="preserve"> is a preventive war where the threat is sufficient to warrant a first strike. When it comes to Australia, it should always be held accountable for its values and ideology. If Australia is keen on advancing human rights as </w:t>
      </w:r>
      <w:r>
        <w:lastRenderedPageBreak/>
        <w:t>well as foreign affairs, then it has a moral obligation to supply military intervention to Underland.</w:t>
      </w:r>
    </w:p>
    <w:p w:rsidR="00A73F08" w:rsidRDefault="00247C5F" w:rsidP="00A6221E">
      <w:pPr>
        <w:spacing w:line="480" w:lineRule="auto"/>
        <w:ind w:firstLine="720"/>
      </w:pPr>
      <w:r>
        <w:t>Australia should also be morally obligated to intervene in this situation based on the concept of self-determination of Underlanders. Citizens are in-deed the members of any state or political community. They have the collective right to choose their leadership and determine their own affairs</w:t>
      </w:r>
      <w:r w:rsidR="00E51029">
        <w:t xml:space="preserve"> (</w:t>
      </w:r>
      <w:r w:rsidR="00E51029">
        <w:rPr>
          <w:rFonts w:eastAsia="Times New Roman" w:cs="Times New Roman"/>
          <w:color w:val="auto"/>
          <w:szCs w:val="24"/>
        </w:rPr>
        <w:t>Laberge,</w:t>
      </w:r>
      <w:r w:rsidR="00E51029" w:rsidRPr="007165B6">
        <w:rPr>
          <w:rFonts w:eastAsia="Times New Roman" w:cs="Times New Roman"/>
          <w:color w:val="auto"/>
          <w:szCs w:val="24"/>
        </w:rPr>
        <w:t xml:space="preserve"> 1995</w:t>
      </w:r>
      <w:r w:rsidR="00E51029">
        <w:rPr>
          <w:rFonts w:eastAsia="Times New Roman" w:cs="Times New Roman"/>
          <w:color w:val="auto"/>
          <w:szCs w:val="24"/>
        </w:rPr>
        <w:t xml:space="preserve"> p. 20)</w:t>
      </w:r>
      <w:r>
        <w:t xml:space="preserve">. Based on this each state is presumed to be self-determining even with </w:t>
      </w:r>
      <w:r w:rsidR="00AF542C">
        <w:t>tyranny or dictatorship being present. Self-determination does not equate to political freedom as witnessed in democratic countries. It is considered that each state must find its own freedom as an individual finds his/her virtue</w:t>
      </w:r>
      <w:r w:rsidR="00335167">
        <w:t xml:space="preserve"> (</w:t>
      </w:r>
      <w:r w:rsidR="00335167">
        <w:rPr>
          <w:rFonts w:eastAsia="Times New Roman" w:cs="Times New Roman"/>
          <w:color w:val="auto"/>
          <w:szCs w:val="24"/>
        </w:rPr>
        <w:t>Laberge,</w:t>
      </w:r>
      <w:r w:rsidR="00335167" w:rsidRPr="007165B6">
        <w:rPr>
          <w:rFonts w:eastAsia="Times New Roman" w:cs="Times New Roman"/>
          <w:color w:val="auto"/>
          <w:szCs w:val="24"/>
        </w:rPr>
        <w:t xml:space="preserve"> 1995</w:t>
      </w:r>
      <w:r w:rsidR="00335167">
        <w:rPr>
          <w:rFonts w:eastAsia="Times New Roman" w:cs="Times New Roman"/>
          <w:color w:val="auto"/>
          <w:szCs w:val="24"/>
        </w:rPr>
        <w:t xml:space="preserve"> p. 22)</w:t>
      </w:r>
      <w:r w:rsidR="00AF542C">
        <w:t xml:space="preserve">. Therefore, </w:t>
      </w:r>
      <w:r w:rsidR="005632F3">
        <w:t xml:space="preserve">a state cannot be gain freedom from an external force or intervention. </w:t>
      </w:r>
      <w:r w:rsidR="00625B3E">
        <w:t xml:space="preserve">However, in this case, the Underland rebels illustrate the self-determination o their state. The lack of free institutions and a dictator have deprived the people of Underland a chance to determine their own virtues critical for maintaining liberty. For them to gain freedom in the current situation, the rebels must fight and win freedom. Virtues can be learned, but freedom has to be won, and mostly it’s through war. </w:t>
      </w:r>
      <w:r w:rsidR="00A73F08">
        <w:t>Even Walzer specifies that the minimum circumstances in terms of using intervention that include massive or huge human rights violations as well as minimal liberty for the people</w:t>
      </w:r>
      <w:r w:rsidR="00E51029">
        <w:t>(2015, p. 45)</w:t>
      </w:r>
      <w:r w:rsidR="00A73F08">
        <w:t xml:space="preserve">. It should also be considered in terms of the military strength or power of Underland. This is where the people of Underland can never defeat the current leadership due to its strong military capability. This a significant issue the Australian government should consider as the people of Underland have no chance whatever of defeating the dictatorship without military support or intervention from Australia.   </w:t>
      </w:r>
      <w:r w:rsidR="00625B3E">
        <w:t xml:space="preserve">  </w:t>
      </w:r>
      <w:r w:rsidR="00AF542C">
        <w:t xml:space="preserve"> </w:t>
      </w:r>
      <w:r>
        <w:t xml:space="preserve"> </w:t>
      </w:r>
      <w:r w:rsidR="004D14C1">
        <w:t xml:space="preserve"> </w:t>
      </w:r>
      <w:r w:rsidR="008535C0">
        <w:t xml:space="preserve"> </w:t>
      </w:r>
    </w:p>
    <w:p w:rsidR="00EF4C6E" w:rsidRDefault="00550BF2" w:rsidP="00A6221E">
      <w:pPr>
        <w:spacing w:line="480" w:lineRule="auto"/>
        <w:ind w:firstLine="720"/>
      </w:pPr>
      <w:r>
        <w:t xml:space="preserve">Based on these circumstances, it would also be morally illegal for Australia to offer military aid or intervention for Underland. This is based on the violation of positive rights that </w:t>
      </w:r>
      <w:r>
        <w:lastRenderedPageBreak/>
        <w:t>may include access to food and shelter against negative rights such as torture. In such a case, the state of Underland may have its own self-determination and may require fighting for their freedom alone or without military intervention from external sources. This is because the dictator in the nation does not massacre or torture ordinary citizens, but only those who resist the current regime. In such a case, it would not be justifiable to offer the country any intervention or military assistance. However, the violation of political and civil rights is vital over other rights such as economic, social, or cultural rights</w:t>
      </w:r>
      <w:r w:rsidR="00715AA4">
        <w:t xml:space="preserve"> (</w:t>
      </w:r>
      <w:r w:rsidR="00715AA4">
        <w:rPr>
          <w:rFonts w:eastAsia="Times New Roman" w:cs="Times New Roman"/>
          <w:color w:val="auto"/>
          <w:szCs w:val="24"/>
        </w:rPr>
        <w:t>Donnelly,</w:t>
      </w:r>
      <w:r w:rsidR="00715AA4" w:rsidRPr="007165B6">
        <w:rPr>
          <w:rFonts w:eastAsia="Times New Roman" w:cs="Times New Roman"/>
          <w:color w:val="auto"/>
          <w:szCs w:val="24"/>
        </w:rPr>
        <w:t xml:space="preserve"> 2013</w:t>
      </w:r>
      <w:r w:rsidR="00715AA4">
        <w:rPr>
          <w:rFonts w:eastAsia="Times New Roman" w:cs="Times New Roman"/>
          <w:color w:val="auto"/>
          <w:szCs w:val="24"/>
        </w:rPr>
        <w:t>, p. 133)</w:t>
      </w:r>
      <w:r>
        <w:t xml:space="preserve">. From the case, it is clear that most of the substantial rights have been violated and even do not meet international standards including political rights and civil rights. This is because people are tortured and imposed on a regime that no one approves of or supports. Only a minority of the elite determine the ruling as well as other basic rights such </w:t>
      </w:r>
      <w:r w:rsidR="003349A7">
        <w:t>as</w:t>
      </w:r>
      <w:r>
        <w:t xml:space="preserve"> economic rights.  </w:t>
      </w:r>
      <w:r w:rsidR="003349A7">
        <w:t>Moreover, it is important to consider the likelihood of success and the initial reason or circumstances leading to the warrant of an intervention</w:t>
      </w:r>
      <w:r w:rsidR="001B0603">
        <w:t xml:space="preserve"> (</w:t>
      </w:r>
      <w:r w:rsidR="001B0603">
        <w:rPr>
          <w:rFonts w:eastAsia="Times New Roman" w:cs="Times New Roman"/>
          <w:color w:val="auto"/>
          <w:szCs w:val="24"/>
        </w:rPr>
        <w:t>Nardi and Mapel,</w:t>
      </w:r>
      <w:r w:rsidR="001B0603" w:rsidRPr="007165B6">
        <w:rPr>
          <w:rFonts w:eastAsia="Times New Roman" w:cs="Times New Roman"/>
          <w:color w:val="auto"/>
          <w:szCs w:val="24"/>
        </w:rPr>
        <w:t xml:space="preserve"> 1992</w:t>
      </w:r>
      <w:r w:rsidR="001B0603">
        <w:rPr>
          <w:rFonts w:eastAsia="Times New Roman" w:cs="Times New Roman"/>
          <w:color w:val="auto"/>
          <w:szCs w:val="24"/>
        </w:rPr>
        <w:t xml:space="preserve"> 230)</w:t>
      </w:r>
      <w:r w:rsidR="003349A7">
        <w:t xml:space="preserve">. </w:t>
      </w:r>
      <w:r w:rsidR="00EF4C6E">
        <w:t xml:space="preserve">In Underland, the basic reason for Australia’s possible intervention is based on rebels requesting for assistance. However, this may be contested based on the lack of a common goal from the rebels and the Australian government. The rebels do not indicate any intention of setting up a democratic or free country. This may be a good reason to deter Australia from offering help, but not taking any action would do more harm than good based on the incapability of the rebels in fighting the </w:t>
      </w:r>
      <w:r w:rsidR="001B0603">
        <w:t>dictator’s</w:t>
      </w:r>
      <w:r w:rsidR="00EF4C6E">
        <w:t xml:space="preserve"> army. </w:t>
      </w:r>
    </w:p>
    <w:p w:rsidR="00EF4C6E" w:rsidRDefault="00EF4C6E" w:rsidP="00A6221E">
      <w:pPr>
        <w:spacing w:line="480" w:lineRule="auto"/>
        <w:ind w:firstLine="720"/>
      </w:pPr>
      <w:r>
        <w:t xml:space="preserve">In conclusion, based on the current circumstance, Australian has a moral obligation to help the rebels. This is based on the violation of political and civil rights, which if not addressed are bound to continue or even get worse. Additionally, Underlanders have been denied the opportunity for self-determination where they require </w:t>
      </w:r>
      <w:r w:rsidR="004C2F0F">
        <w:t>deciding</w:t>
      </w:r>
      <w:r>
        <w:t xml:space="preserve"> their affairs without any oppression. The main reason why Australia should help the country is based on their </w:t>
      </w:r>
      <w:r>
        <w:lastRenderedPageBreak/>
        <w:t xml:space="preserve">determination to resist the dictator, lack of military resources, and increased violation of political and civil rights. </w:t>
      </w:r>
    </w:p>
    <w:p w:rsidR="00A6221E" w:rsidRDefault="00A6221E" w:rsidP="00A6221E">
      <w:pPr>
        <w:spacing w:line="480" w:lineRule="auto"/>
        <w:jc w:val="center"/>
      </w:pPr>
    </w:p>
    <w:p w:rsidR="00A6221E" w:rsidRDefault="00A6221E" w:rsidP="00A6221E">
      <w:pPr>
        <w:spacing w:line="480" w:lineRule="auto"/>
        <w:jc w:val="center"/>
      </w:pPr>
    </w:p>
    <w:p w:rsidR="00A6221E" w:rsidRDefault="00A6221E" w:rsidP="00A6221E">
      <w:pPr>
        <w:spacing w:line="480" w:lineRule="auto"/>
        <w:jc w:val="center"/>
      </w:pPr>
    </w:p>
    <w:p w:rsidR="00A6221E" w:rsidRDefault="00A6221E" w:rsidP="00A6221E">
      <w:pPr>
        <w:spacing w:line="480" w:lineRule="auto"/>
        <w:jc w:val="center"/>
      </w:pPr>
    </w:p>
    <w:p w:rsidR="00A6221E" w:rsidRDefault="00A6221E" w:rsidP="00A6221E">
      <w:pPr>
        <w:spacing w:line="480" w:lineRule="auto"/>
        <w:jc w:val="center"/>
      </w:pPr>
    </w:p>
    <w:p w:rsidR="00A6221E" w:rsidRDefault="00A6221E" w:rsidP="00A6221E">
      <w:pPr>
        <w:spacing w:line="480" w:lineRule="auto"/>
        <w:jc w:val="center"/>
      </w:pPr>
    </w:p>
    <w:p w:rsidR="00A6221E" w:rsidRDefault="00A6221E" w:rsidP="00A6221E">
      <w:pPr>
        <w:spacing w:line="480" w:lineRule="auto"/>
        <w:jc w:val="center"/>
      </w:pPr>
    </w:p>
    <w:p w:rsidR="00A6221E" w:rsidRDefault="00A6221E" w:rsidP="00A6221E">
      <w:pPr>
        <w:spacing w:line="480" w:lineRule="auto"/>
        <w:jc w:val="center"/>
      </w:pPr>
    </w:p>
    <w:p w:rsidR="00A6221E" w:rsidRDefault="00A6221E" w:rsidP="00A6221E">
      <w:pPr>
        <w:spacing w:line="480" w:lineRule="auto"/>
        <w:jc w:val="center"/>
      </w:pPr>
    </w:p>
    <w:p w:rsidR="00A6221E" w:rsidRDefault="00A6221E" w:rsidP="00A6221E">
      <w:pPr>
        <w:spacing w:line="480" w:lineRule="auto"/>
        <w:jc w:val="center"/>
      </w:pPr>
    </w:p>
    <w:p w:rsidR="00A6221E" w:rsidRDefault="00A6221E" w:rsidP="00A6221E">
      <w:pPr>
        <w:spacing w:line="480" w:lineRule="auto"/>
        <w:jc w:val="center"/>
      </w:pPr>
    </w:p>
    <w:p w:rsidR="00A6221E" w:rsidRDefault="00A6221E" w:rsidP="00A6221E">
      <w:pPr>
        <w:spacing w:line="480" w:lineRule="auto"/>
        <w:jc w:val="center"/>
      </w:pPr>
    </w:p>
    <w:p w:rsidR="00A6221E" w:rsidRDefault="00A6221E" w:rsidP="00A6221E">
      <w:pPr>
        <w:spacing w:line="480" w:lineRule="auto"/>
        <w:jc w:val="center"/>
      </w:pPr>
    </w:p>
    <w:p w:rsidR="00A6221E" w:rsidRDefault="00A6221E" w:rsidP="00A6221E">
      <w:pPr>
        <w:spacing w:line="480" w:lineRule="auto"/>
        <w:jc w:val="center"/>
      </w:pPr>
    </w:p>
    <w:p w:rsidR="00A6221E" w:rsidRDefault="00A6221E" w:rsidP="00A6221E">
      <w:pPr>
        <w:spacing w:line="480" w:lineRule="auto"/>
        <w:jc w:val="center"/>
      </w:pPr>
    </w:p>
    <w:p w:rsidR="00A6221E" w:rsidRDefault="00A6221E" w:rsidP="00A6221E">
      <w:pPr>
        <w:spacing w:line="480" w:lineRule="auto"/>
        <w:jc w:val="center"/>
      </w:pPr>
    </w:p>
    <w:p w:rsidR="00A6221E" w:rsidRDefault="00EF4C6E" w:rsidP="00A6221E">
      <w:pPr>
        <w:spacing w:line="480" w:lineRule="auto"/>
        <w:jc w:val="center"/>
      </w:pPr>
      <w:r>
        <w:lastRenderedPageBreak/>
        <w:t>Bibliography</w:t>
      </w:r>
    </w:p>
    <w:p w:rsidR="00A6221E" w:rsidRPr="007165B6" w:rsidRDefault="00A6221E" w:rsidP="00A6221E">
      <w:pPr>
        <w:spacing w:after="0" w:line="480" w:lineRule="auto"/>
        <w:ind w:left="720" w:hanging="720"/>
        <w:rPr>
          <w:rFonts w:eastAsia="Times New Roman" w:cs="Times New Roman"/>
          <w:color w:val="auto"/>
          <w:szCs w:val="24"/>
        </w:rPr>
      </w:pPr>
      <w:r w:rsidRPr="007165B6">
        <w:rPr>
          <w:rFonts w:eastAsia="Times New Roman" w:cs="Times New Roman"/>
          <w:color w:val="auto"/>
          <w:szCs w:val="24"/>
        </w:rPr>
        <w:t xml:space="preserve">Donnelly, J., 2013. </w:t>
      </w:r>
      <w:r w:rsidRPr="007165B6">
        <w:rPr>
          <w:rFonts w:eastAsia="Times New Roman" w:cs="Times New Roman"/>
          <w:i/>
          <w:iCs/>
          <w:color w:val="auto"/>
          <w:szCs w:val="24"/>
        </w:rPr>
        <w:t>Universal human rights in theory and practice</w:t>
      </w:r>
      <w:r w:rsidRPr="007165B6">
        <w:rPr>
          <w:rFonts w:eastAsia="Times New Roman" w:cs="Times New Roman"/>
          <w:color w:val="auto"/>
          <w:szCs w:val="24"/>
        </w:rPr>
        <w:t>. Cornell University Press.</w:t>
      </w:r>
    </w:p>
    <w:p w:rsidR="00A6221E" w:rsidRPr="007165B6" w:rsidRDefault="00A6221E" w:rsidP="00A6221E">
      <w:pPr>
        <w:spacing w:after="0" w:line="480" w:lineRule="auto"/>
        <w:ind w:left="720" w:hanging="720"/>
        <w:rPr>
          <w:rFonts w:eastAsia="Times New Roman" w:cs="Times New Roman"/>
          <w:color w:val="auto"/>
          <w:szCs w:val="24"/>
        </w:rPr>
      </w:pPr>
      <w:r w:rsidRPr="007165B6">
        <w:rPr>
          <w:rFonts w:eastAsia="Times New Roman" w:cs="Times New Roman"/>
          <w:color w:val="auto"/>
          <w:szCs w:val="24"/>
        </w:rPr>
        <w:t xml:space="preserve">Laberge, P., 1995. Humanitarian Intervention: Three Ethical Positions. </w:t>
      </w:r>
      <w:r w:rsidRPr="007165B6">
        <w:rPr>
          <w:rFonts w:eastAsia="Times New Roman" w:cs="Times New Roman"/>
          <w:i/>
          <w:iCs/>
          <w:color w:val="auto"/>
          <w:szCs w:val="24"/>
        </w:rPr>
        <w:t>Ethics &amp; International Affairs</w:t>
      </w:r>
      <w:r w:rsidRPr="007165B6">
        <w:rPr>
          <w:rFonts w:eastAsia="Times New Roman" w:cs="Times New Roman"/>
          <w:color w:val="auto"/>
          <w:szCs w:val="24"/>
        </w:rPr>
        <w:t xml:space="preserve">, </w:t>
      </w:r>
      <w:r w:rsidRPr="007165B6">
        <w:rPr>
          <w:rFonts w:eastAsia="Times New Roman" w:cs="Times New Roman"/>
          <w:i/>
          <w:iCs/>
          <w:color w:val="auto"/>
          <w:szCs w:val="24"/>
        </w:rPr>
        <w:t>9</w:t>
      </w:r>
      <w:r w:rsidRPr="007165B6">
        <w:rPr>
          <w:rFonts w:eastAsia="Times New Roman" w:cs="Times New Roman"/>
          <w:color w:val="auto"/>
          <w:szCs w:val="24"/>
        </w:rPr>
        <w:t>(1), pp.15-35.</w:t>
      </w:r>
    </w:p>
    <w:p w:rsidR="00A6221E" w:rsidRPr="007165B6" w:rsidRDefault="00A6221E" w:rsidP="00A6221E">
      <w:pPr>
        <w:spacing w:after="0" w:line="480" w:lineRule="auto"/>
        <w:ind w:left="720" w:hanging="720"/>
        <w:rPr>
          <w:rFonts w:eastAsia="Times New Roman" w:cs="Times New Roman"/>
          <w:color w:val="auto"/>
          <w:szCs w:val="24"/>
        </w:rPr>
      </w:pPr>
      <w:r w:rsidRPr="007165B6">
        <w:rPr>
          <w:rFonts w:eastAsia="Times New Roman" w:cs="Times New Roman"/>
          <w:color w:val="auto"/>
          <w:szCs w:val="24"/>
        </w:rPr>
        <w:t xml:space="preserve">Nardin, T. and Mapel, D.R., 1992. </w:t>
      </w:r>
      <w:r w:rsidRPr="007165B6">
        <w:rPr>
          <w:rFonts w:eastAsia="Times New Roman" w:cs="Times New Roman"/>
          <w:i/>
          <w:iCs/>
          <w:color w:val="auto"/>
          <w:szCs w:val="24"/>
        </w:rPr>
        <w:t>Traditions of international ethics</w:t>
      </w:r>
      <w:r w:rsidRPr="007165B6">
        <w:rPr>
          <w:rFonts w:eastAsia="Times New Roman" w:cs="Times New Roman"/>
          <w:color w:val="auto"/>
          <w:szCs w:val="24"/>
        </w:rPr>
        <w:t xml:space="preserve"> (Vol. 17). Cambridge University Press.</w:t>
      </w:r>
    </w:p>
    <w:p w:rsidR="00A6221E" w:rsidRPr="004C2F0F" w:rsidRDefault="00A6221E" w:rsidP="00A6221E">
      <w:pPr>
        <w:spacing w:after="0" w:line="480" w:lineRule="auto"/>
        <w:ind w:left="720" w:hanging="720"/>
        <w:rPr>
          <w:rFonts w:eastAsia="Times New Roman" w:cs="Times New Roman"/>
          <w:color w:val="auto"/>
          <w:szCs w:val="24"/>
        </w:rPr>
      </w:pPr>
      <w:r w:rsidRPr="004C2F0F">
        <w:rPr>
          <w:rFonts w:eastAsia="Times New Roman" w:cs="Times New Roman"/>
          <w:color w:val="auto"/>
          <w:szCs w:val="24"/>
        </w:rPr>
        <w:t xml:space="preserve">Walzer, M., 2015. </w:t>
      </w:r>
      <w:r w:rsidRPr="004C2F0F">
        <w:rPr>
          <w:rFonts w:eastAsia="Times New Roman" w:cs="Times New Roman"/>
          <w:i/>
          <w:iCs/>
          <w:color w:val="auto"/>
          <w:szCs w:val="24"/>
        </w:rPr>
        <w:t>Just and unjust wars: A moral argument with historical illustrations</w:t>
      </w:r>
      <w:r w:rsidRPr="004C2F0F">
        <w:rPr>
          <w:rFonts w:eastAsia="Times New Roman" w:cs="Times New Roman"/>
          <w:color w:val="auto"/>
          <w:szCs w:val="24"/>
        </w:rPr>
        <w:t>. Basic Books.</w:t>
      </w:r>
    </w:p>
    <w:sectPr w:rsidR="00A6221E" w:rsidRPr="004C2F0F">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3759" w:rsidRDefault="00FD3759" w:rsidP="000E5C79">
      <w:pPr>
        <w:spacing w:after="0" w:line="240" w:lineRule="auto"/>
      </w:pPr>
      <w:r>
        <w:separator/>
      </w:r>
    </w:p>
  </w:endnote>
  <w:endnote w:type="continuationSeparator" w:id="0">
    <w:p w:rsidR="00FD3759" w:rsidRDefault="00FD3759" w:rsidP="000E5C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3759" w:rsidRDefault="00FD3759" w:rsidP="000E5C79">
      <w:pPr>
        <w:spacing w:after="0" w:line="240" w:lineRule="auto"/>
      </w:pPr>
      <w:r>
        <w:separator/>
      </w:r>
    </w:p>
  </w:footnote>
  <w:footnote w:type="continuationSeparator" w:id="0">
    <w:p w:rsidR="00FD3759" w:rsidRDefault="00FD3759" w:rsidP="000E5C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5C79" w:rsidRDefault="000E5C79">
    <w:pPr>
      <w:pStyle w:val="Header"/>
      <w:jc w:val="right"/>
    </w:pPr>
    <w:r>
      <w:t xml:space="preserve">Military Intervention </w:t>
    </w:r>
    <w:sdt>
      <w:sdtPr>
        <w:id w:val="-1515754842"/>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4B16B3">
          <w:rPr>
            <w:noProof/>
          </w:rPr>
          <w:t>1</w:t>
        </w:r>
        <w:r>
          <w:rPr>
            <w:noProof/>
          </w:rPr>
          <w:fldChar w:fldCharType="end"/>
        </w:r>
      </w:sdtContent>
    </w:sdt>
  </w:p>
  <w:p w:rsidR="000E5C79" w:rsidRDefault="000E5C7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3FC8"/>
    <w:rsid w:val="000E5C79"/>
    <w:rsid w:val="00153558"/>
    <w:rsid w:val="001B0603"/>
    <w:rsid w:val="00247C5F"/>
    <w:rsid w:val="003349A7"/>
    <w:rsid w:val="00335167"/>
    <w:rsid w:val="003D3FC8"/>
    <w:rsid w:val="004B16B3"/>
    <w:rsid w:val="004C2F0F"/>
    <w:rsid w:val="004D14C1"/>
    <w:rsid w:val="00550BF2"/>
    <w:rsid w:val="005632F3"/>
    <w:rsid w:val="005934FB"/>
    <w:rsid w:val="00625B3E"/>
    <w:rsid w:val="00715AA4"/>
    <w:rsid w:val="007165B6"/>
    <w:rsid w:val="00781594"/>
    <w:rsid w:val="007C0C3D"/>
    <w:rsid w:val="008535C0"/>
    <w:rsid w:val="00873F18"/>
    <w:rsid w:val="008B12D8"/>
    <w:rsid w:val="00A561F2"/>
    <w:rsid w:val="00A6221E"/>
    <w:rsid w:val="00A73F08"/>
    <w:rsid w:val="00AE759B"/>
    <w:rsid w:val="00AF542C"/>
    <w:rsid w:val="00B91E00"/>
    <w:rsid w:val="00C7632D"/>
    <w:rsid w:val="00E51029"/>
    <w:rsid w:val="00EF4C6E"/>
    <w:rsid w:val="00FD37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Calibri"/>
        <w:color w:val="000000"/>
        <w:sz w:val="24"/>
        <w:szCs w:val="22"/>
        <w:u w:color="000000"/>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5C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5C79"/>
  </w:style>
  <w:style w:type="paragraph" w:styleId="Footer">
    <w:name w:val="footer"/>
    <w:basedOn w:val="Normal"/>
    <w:link w:val="FooterChar"/>
    <w:uiPriority w:val="99"/>
    <w:unhideWhenUsed/>
    <w:rsid w:val="000E5C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5C7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Calibri"/>
        <w:color w:val="000000"/>
        <w:sz w:val="24"/>
        <w:szCs w:val="22"/>
        <w:u w:color="000000"/>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5C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5C79"/>
  </w:style>
  <w:style w:type="paragraph" w:styleId="Footer">
    <w:name w:val="footer"/>
    <w:basedOn w:val="Normal"/>
    <w:link w:val="FooterChar"/>
    <w:uiPriority w:val="99"/>
    <w:unhideWhenUsed/>
    <w:rsid w:val="000E5C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5C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884642">
      <w:bodyDiv w:val="1"/>
      <w:marLeft w:val="0"/>
      <w:marRight w:val="0"/>
      <w:marTop w:val="0"/>
      <w:marBottom w:val="0"/>
      <w:divBdr>
        <w:top w:val="none" w:sz="0" w:space="0" w:color="auto"/>
        <w:left w:val="none" w:sz="0" w:space="0" w:color="auto"/>
        <w:bottom w:val="none" w:sz="0" w:space="0" w:color="auto"/>
        <w:right w:val="none" w:sz="0" w:space="0" w:color="auto"/>
      </w:divBdr>
      <w:divsChild>
        <w:div w:id="1396931663">
          <w:marLeft w:val="0"/>
          <w:marRight w:val="0"/>
          <w:marTop w:val="0"/>
          <w:marBottom w:val="0"/>
          <w:divBdr>
            <w:top w:val="none" w:sz="0" w:space="0" w:color="auto"/>
            <w:left w:val="none" w:sz="0" w:space="0" w:color="auto"/>
            <w:bottom w:val="none" w:sz="0" w:space="0" w:color="auto"/>
            <w:right w:val="none" w:sz="0" w:space="0" w:color="auto"/>
          </w:divBdr>
        </w:div>
      </w:divsChild>
    </w:div>
    <w:div w:id="530844208">
      <w:bodyDiv w:val="1"/>
      <w:marLeft w:val="0"/>
      <w:marRight w:val="0"/>
      <w:marTop w:val="0"/>
      <w:marBottom w:val="0"/>
      <w:divBdr>
        <w:top w:val="none" w:sz="0" w:space="0" w:color="auto"/>
        <w:left w:val="none" w:sz="0" w:space="0" w:color="auto"/>
        <w:bottom w:val="none" w:sz="0" w:space="0" w:color="auto"/>
        <w:right w:val="none" w:sz="0" w:space="0" w:color="auto"/>
      </w:divBdr>
    </w:div>
    <w:div w:id="567301822">
      <w:bodyDiv w:val="1"/>
      <w:marLeft w:val="0"/>
      <w:marRight w:val="0"/>
      <w:marTop w:val="0"/>
      <w:marBottom w:val="0"/>
      <w:divBdr>
        <w:top w:val="none" w:sz="0" w:space="0" w:color="auto"/>
        <w:left w:val="none" w:sz="0" w:space="0" w:color="auto"/>
        <w:bottom w:val="none" w:sz="0" w:space="0" w:color="auto"/>
        <w:right w:val="none" w:sz="0" w:space="0" w:color="auto"/>
      </w:divBdr>
      <w:divsChild>
        <w:div w:id="80759113">
          <w:marLeft w:val="0"/>
          <w:marRight w:val="0"/>
          <w:marTop w:val="0"/>
          <w:marBottom w:val="0"/>
          <w:divBdr>
            <w:top w:val="none" w:sz="0" w:space="0" w:color="auto"/>
            <w:left w:val="none" w:sz="0" w:space="0" w:color="auto"/>
            <w:bottom w:val="none" w:sz="0" w:space="0" w:color="auto"/>
            <w:right w:val="none" w:sz="0" w:space="0" w:color="auto"/>
          </w:divBdr>
        </w:div>
      </w:divsChild>
    </w:div>
    <w:div w:id="570971264">
      <w:bodyDiv w:val="1"/>
      <w:marLeft w:val="0"/>
      <w:marRight w:val="0"/>
      <w:marTop w:val="0"/>
      <w:marBottom w:val="0"/>
      <w:divBdr>
        <w:top w:val="none" w:sz="0" w:space="0" w:color="auto"/>
        <w:left w:val="none" w:sz="0" w:space="0" w:color="auto"/>
        <w:bottom w:val="none" w:sz="0" w:space="0" w:color="auto"/>
        <w:right w:val="none" w:sz="0" w:space="0" w:color="auto"/>
      </w:divBdr>
      <w:divsChild>
        <w:div w:id="67269531">
          <w:marLeft w:val="0"/>
          <w:marRight w:val="0"/>
          <w:marTop w:val="0"/>
          <w:marBottom w:val="0"/>
          <w:divBdr>
            <w:top w:val="none" w:sz="0" w:space="0" w:color="auto"/>
            <w:left w:val="none" w:sz="0" w:space="0" w:color="auto"/>
            <w:bottom w:val="none" w:sz="0" w:space="0" w:color="auto"/>
            <w:right w:val="none" w:sz="0" w:space="0" w:color="auto"/>
          </w:divBdr>
        </w:div>
      </w:divsChild>
    </w:div>
    <w:div w:id="1639071910">
      <w:bodyDiv w:val="1"/>
      <w:marLeft w:val="0"/>
      <w:marRight w:val="0"/>
      <w:marTop w:val="0"/>
      <w:marBottom w:val="0"/>
      <w:divBdr>
        <w:top w:val="none" w:sz="0" w:space="0" w:color="auto"/>
        <w:left w:val="none" w:sz="0" w:space="0" w:color="auto"/>
        <w:bottom w:val="none" w:sz="0" w:space="0" w:color="auto"/>
        <w:right w:val="none" w:sz="0" w:space="0" w:color="auto"/>
      </w:divBdr>
      <w:divsChild>
        <w:div w:id="18193742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1352</Words>
  <Characters>7707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HEAVEN KILLERS RELEASE GROUP</Company>
  <LinksUpToDate>false</LinksUpToDate>
  <CharactersWithSpaces>9041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ocampo</dc:creator>
  <cp:lastModifiedBy>ocampo</cp:lastModifiedBy>
  <cp:revision>2</cp:revision>
  <dcterms:created xsi:type="dcterms:W3CDTF">2017-05-22T14:38:00Z</dcterms:created>
  <dcterms:modified xsi:type="dcterms:W3CDTF">2017-05-22T14:38:00Z</dcterms:modified>
</cp:coreProperties>
</file>