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AA" w:rsidRDefault="002C2CAA" w:rsidP="002C2CAA">
      <w:pPr>
        <w:tabs>
          <w:tab w:val="left" w:pos="4184"/>
        </w:tabs>
        <w:spacing w:line="480" w:lineRule="auto"/>
        <w:rPr>
          <w:rFonts w:ascii="Times New Roman" w:hAnsi="Times New Roman" w:cs="Times New Roman"/>
          <w:sz w:val="24"/>
          <w:szCs w:val="24"/>
        </w:rPr>
      </w:pPr>
    </w:p>
    <w:p w:rsidR="002C2CAA" w:rsidRDefault="002C2CAA" w:rsidP="002C2CAA">
      <w:pPr>
        <w:tabs>
          <w:tab w:val="left" w:pos="4184"/>
        </w:tabs>
        <w:spacing w:line="480" w:lineRule="auto"/>
        <w:rPr>
          <w:rFonts w:ascii="Times New Roman" w:hAnsi="Times New Roman" w:cs="Times New Roman"/>
          <w:sz w:val="24"/>
          <w:szCs w:val="24"/>
        </w:rPr>
      </w:pPr>
    </w:p>
    <w:p w:rsidR="002C2CAA" w:rsidRDefault="002C2CAA" w:rsidP="002C2CAA">
      <w:pPr>
        <w:tabs>
          <w:tab w:val="left" w:pos="4184"/>
        </w:tabs>
        <w:spacing w:line="480" w:lineRule="auto"/>
        <w:rPr>
          <w:rFonts w:ascii="Times New Roman" w:hAnsi="Times New Roman" w:cs="Times New Roman"/>
          <w:sz w:val="24"/>
          <w:szCs w:val="24"/>
        </w:rPr>
      </w:pPr>
    </w:p>
    <w:p w:rsidR="00BA0BA7" w:rsidRDefault="00BA0BA7" w:rsidP="002C2CAA">
      <w:pPr>
        <w:spacing w:line="480" w:lineRule="auto"/>
        <w:jc w:val="center"/>
        <w:rPr>
          <w:rFonts w:ascii="Times New Roman" w:hAnsi="Times New Roman" w:cs="Times New Roman"/>
          <w:sz w:val="24"/>
          <w:szCs w:val="24"/>
        </w:rPr>
      </w:pPr>
      <w:r w:rsidRPr="00BA0BA7">
        <w:rPr>
          <w:rFonts w:ascii="Times New Roman" w:hAnsi="Times New Roman" w:cs="Times New Roman"/>
          <w:sz w:val="24"/>
          <w:szCs w:val="24"/>
        </w:rPr>
        <w:t>EXCHANGE RATE – CASE STUDY</w:t>
      </w:r>
    </w:p>
    <w:p w:rsidR="002C2CAA" w:rsidRDefault="002C2CAA" w:rsidP="002C2CAA">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2C2CAA" w:rsidRDefault="002C2CAA" w:rsidP="002C2CAA">
      <w:pPr>
        <w:spacing w:line="480" w:lineRule="auto"/>
        <w:jc w:val="center"/>
        <w:rPr>
          <w:rFonts w:ascii="Times New Roman" w:hAnsi="Times New Roman" w:cs="Times New Roman"/>
          <w:sz w:val="24"/>
          <w:szCs w:val="24"/>
        </w:rPr>
      </w:pPr>
    </w:p>
    <w:p w:rsidR="002C2CAA" w:rsidRDefault="002C2CAA" w:rsidP="002C2CAA">
      <w:pPr>
        <w:spacing w:line="480" w:lineRule="auto"/>
        <w:jc w:val="center"/>
        <w:rPr>
          <w:rFonts w:ascii="Times New Roman" w:hAnsi="Times New Roman" w:cs="Times New Roman"/>
          <w:sz w:val="24"/>
          <w:szCs w:val="24"/>
        </w:rPr>
      </w:pPr>
    </w:p>
    <w:p w:rsidR="002C2CAA" w:rsidRDefault="002C2CAA" w:rsidP="002C2CAA">
      <w:pPr>
        <w:spacing w:line="480" w:lineRule="auto"/>
        <w:jc w:val="center"/>
        <w:rPr>
          <w:rFonts w:ascii="Times New Roman" w:hAnsi="Times New Roman" w:cs="Times New Roman"/>
          <w:sz w:val="24"/>
          <w:szCs w:val="24"/>
        </w:rPr>
      </w:pPr>
    </w:p>
    <w:p w:rsidR="002C2CAA" w:rsidRDefault="002C2CAA" w:rsidP="002C2CAA">
      <w:pPr>
        <w:spacing w:line="480" w:lineRule="auto"/>
        <w:jc w:val="center"/>
        <w:rPr>
          <w:rFonts w:ascii="Times New Roman" w:hAnsi="Times New Roman" w:cs="Times New Roman"/>
          <w:sz w:val="24"/>
          <w:szCs w:val="24"/>
        </w:rPr>
      </w:pPr>
    </w:p>
    <w:p w:rsidR="002C2CAA" w:rsidRDefault="002C2CAA" w:rsidP="002C2CA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C2CAA" w:rsidRDefault="002C2CAA" w:rsidP="002C2CA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2C2CAA" w:rsidRDefault="002C2CAA" w:rsidP="002C2CA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Name:</w:t>
      </w:r>
    </w:p>
    <w:p w:rsidR="002C2CAA" w:rsidRDefault="002C2CAA" w:rsidP="002C2CAA">
      <w:pPr>
        <w:spacing w:line="480" w:lineRule="auto"/>
        <w:jc w:val="center"/>
        <w:rPr>
          <w:rFonts w:ascii="Times New Roman" w:hAnsi="Times New Roman" w:cs="Times New Roman"/>
          <w:sz w:val="24"/>
          <w:szCs w:val="24"/>
        </w:rPr>
      </w:pPr>
      <w:r>
        <w:rPr>
          <w:rFonts w:ascii="Times New Roman" w:hAnsi="Times New Roman" w:cs="Times New Roman"/>
          <w:sz w:val="24"/>
          <w:szCs w:val="24"/>
        </w:rPr>
        <w:t>City/State</w:t>
      </w:r>
    </w:p>
    <w:p w:rsidR="002C2CAA" w:rsidRPr="00EB1D27" w:rsidRDefault="002C2CAA" w:rsidP="002C2CA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C2CAA" w:rsidRDefault="002C2CAA" w:rsidP="002C2CAA">
      <w:pPr>
        <w:tabs>
          <w:tab w:val="left" w:pos="4184"/>
        </w:tabs>
        <w:spacing w:line="480" w:lineRule="auto"/>
        <w:rPr>
          <w:rFonts w:ascii="Times New Roman" w:hAnsi="Times New Roman" w:cs="Times New Roman"/>
          <w:sz w:val="24"/>
          <w:szCs w:val="24"/>
        </w:rPr>
      </w:pPr>
    </w:p>
    <w:p w:rsidR="002C2CAA" w:rsidRDefault="002C2CAA" w:rsidP="002C2CAA">
      <w:pPr>
        <w:tabs>
          <w:tab w:val="left" w:pos="4184"/>
        </w:tabs>
        <w:spacing w:line="480" w:lineRule="auto"/>
        <w:rPr>
          <w:rFonts w:ascii="Times New Roman" w:hAnsi="Times New Roman" w:cs="Times New Roman"/>
          <w:sz w:val="24"/>
          <w:szCs w:val="24"/>
        </w:rPr>
      </w:pPr>
    </w:p>
    <w:p w:rsidR="00FD44D3" w:rsidRDefault="00FD44D3" w:rsidP="002C2CAA">
      <w:pPr>
        <w:tabs>
          <w:tab w:val="left" w:pos="4184"/>
        </w:tabs>
        <w:spacing w:line="480" w:lineRule="auto"/>
        <w:rPr>
          <w:rFonts w:ascii="Times New Roman" w:hAnsi="Times New Roman" w:cs="Times New Roman"/>
          <w:sz w:val="24"/>
          <w:szCs w:val="24"/>
        </w:rPr>
      </w:pPr>
    </w:p>
    <w:p w:rsidR="002C2CAA" w:rsidRPr="00FD44D3" w:rsidRDefault="00FD44D3" w:rsidP="00FD44D3">
      <w:pPr>
        <w:tabs>
          <w:tab w:val="left" w:pos="4184"/>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    Summary of the A</w:t>
      </w:r>
      <w:r w:rsidRPr="00FD44D3">
        <w:rPr>
          <w:rFonts w:ascii="Times New Roman" w:hAnsi="Times New Roman" w:cs="Times New Roman"/>
          <w:b/>
          <w:sz w:val="24"/>
          <w:szCs w:val="24"/>
        </w:rPr>
        <w:t>rticle</w:t>
      </w:r>
    </w:p>
    <w:p w:rsidR="002C2CAA" w:rsidRPr="002C2CAA" w:rsidRDefault="002C2CAA" w:rsidP="00FD44D3">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The exchange rate is a crucial factor in an economy. It determines the strength or weakness of a country’s currency against foreign currency. The exchange rate is determined by market forces of demand and supply. However, governments through their central or reserve banks can influence the exchange rate through the implementation of economic policies. </w:t>
      </w:r>
    </w:p>
    <w:p w:rsidR="002C2CAA" w:rsidRPr="002C2CAA" w:rsidRDefault="002C2CAA" w:rsidP="00FD44D3">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The article discusses the strength currently assumed by the Australian dollar over other stable currencies in the world. Over the recent past, the Australian dollar has appreciated over the foreign currencies. Although an appreciation of a currency is expected to impact positively on the economy Australia, the real outcomes are not realized. </w:t>
      </w:r>
    </w:p>
    <w:p w:rsidR="002C2CAA" w:rsidRPr="002C2CAA" w:rsidRDefault="002C2CAA" w:rsidP="00FD44D3">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Australian RBA governor admits the Australian dollar is too high. However, he admits possible changes are likely to occur due to the fluctuation of the global interest rates. From an economic perspective, higher appreciation of a currency is expected to bring significant exchange in the economy. However, the Australian RBA governor argues that the impact on the Australian economy is not significant. </w:t>
      </w:r>
    </w:p>
    <w:p w:rsidR="002C2CAA" w:rsidRPr="00E74747" w:rsidRDefault="002C2CAA" w:rsidP="00E74747">
      <w:pPr>
        <w:spacing w:line="480" w:lineRule="auto"/>
        <w:ind w:firstLine="720"/>
        <w:jc w:val="both"/>
        <w:rPr>
          <w:rFonts w:ascii="Times New Roman" w:hAnsi="Times New Roman" w:cs="Times New Roman"/>
          <w:sz w:val="24"/>
          <w:szCs w:val="24"/>
        </w:rPr>
      </w:pPr>
      <w:r w:rsidRPr="00E74747">
        <w:rPr>
          <w:rFonts w:ascii="Times New Roman" w:hAnsi="Times New Roman" w:cs="Times New Roman"/>
          <w:sz w:val="24"/>
          <w:szCs w:val="24"/>
        </w:rPr>
        <w:t>Being a net exporter contributes positively to the exchange rate of currency</w:t>
      </w:r>
      <w:r w:rsidR="00E74747" w:rsidRPr="00E74747">
        <w:rPr>
          <w:rFonts w:ascii="Times New Roman" w:hAnsi="Times New Roman" w:cs="Times New Roman"/>
          <w:sz w:val="24"/>
          <w:szCs w:val="24"/>
        </w:rPr>
        <w:t xml:space="preserve"> </w:t>
      </w:r>
      <w:r w:rsidR="00E74747" w:rsidRPr="00E74747">
        <w:rPr>
          <w:rStyle w:val="selectable"/>
          <w:rFonts w:ascii="Times New Roman" w:hAnsi="Times New Roman" w:cs="Times New Roman"/>
          <w:sz w:val="24"/>
          <w:szCs w:val="24"/>
        </w:rPr>
        <w:t>(Yuan, 2011)</w:t>
      </w:r>
      <w:r w:rsidRPr="00E74747">
        <w:rPr>
          <w:rFonts w:ascii="Times New Roman" w:hAnsi="Times New Roman" w:cs="Times New Roman"/>
          <w:sz w:val="24"/>
          <w:szCs w:val="24"/>
        </w:rPr>
        <w:t xml:space="preserve">. One of the major contributors for the high valued Australian currency is the mining boom. Besides, the Australian government revised terms of trade to encourage trade hence contributing to an appreciation of the AUD. </w:t>
      </w:r>
    </w:p>
    <w:p w:rsidR="002C2CAA" w:rsidRPr="002C2CAA" w:rsidRDefault="002C2CAA" w:rsidP="00E74747">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Contrary to the use of trade-weighted index used by RBA, a study carried out by a currency strategist (Robert </w:t>
      </w:r>
      <w:proofErr w:type="spellStart"/>
      <w:r w:rsidRPr="002C2CAA">
        <w:rPr>
          <w:rFonts w:ascii="Times New Roman" w:hAnsi="Times New Roman" w:cs="Times New Roman"/>
          <w:sz w:val="24"/>
          <w:szCs w:val="24"/>
        </w:rPr>
        <w:t>Rennie</w:t>
      </w:r>
      <w:proofErr w:type="spellEnd"/>
      <w:r w:rsidRPr="002C2CAA">
        <w:rPr>
          <w:rFonts w:ascii="Times New Roman" w:hAnsi="Times New Roman" w:cs="Times New Roman"/>
          <w:sz w:val="24"/>
          <w:szCs w:val="24"/>
        </w:rPr>
        <w:t xml:space="preserve">) indicates the Australian currency is slightly undervalued. The strategist applies a fair value of econometric measure that incorporates ten economic variables including commodity prices, risk, interest rate differentials among others (Robin, 2017). </w:t>
      </w:r>
    </w:p>
    <w:p w:rsidR="002C2CAA" w:rsidRPr="00E74747" w:rsidRDefault="002C2CAA" w:rsidP="00E74747">
      <w:pPr>
        <w:spacing w:line="480" w:lineRule="auto"/>
        <w:jc w:val="center"/>
        <w:rPr>
          <w:rFonts w:ascii="Times New Roman" w:hAnsi="Times New Roman" w:cs="Times New Roman"/>
          <w:b/>
          <w:sz w:val="24"/>
          <w:szCs w:val="24"/>
        </w:rPr>
      </w:pPr>
      <w:r w:rsidRPr="00E74747">
        <w:rPr>
          <w:rFonts w:ascii="Times New Roman" w:hAnsi="Times New Roman" w:cs="Times New Roman"/>
          <w:b/>
          <w:sz w:val="24"/>
          <w:szCs w:val="24"/>
        </w:rPr>
        <w:lastRenderedPageBreak/>
        <w:t>(b)    Determinants of AUD in the Forex Market and Factors that Influence AUD Fluctuations</w:t>
      </w:r>
    </w:p>
    <w:p w:rsidR="002C2CAA" w:rsidRPr="002C2CAA" w:rsidRDefault="002C2CAA" w:rsidP="00E74747">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In the current globalization era, a country’s exchange rate has become of importance. The appreciation or depreciation of a currency is crucial in stimulating the trade and economic state of a nation (</w:t>
      </w:r>
      <w:proofErr w:type="spellStart"/>
      <w:r w:rsidRPr="002C2CAA">
        <w:rPr>
          <w:rFonts w:ascii="Times New Roman" w:hAnsi="Times New Roman" w:cs="Times New Roman"/>
          <w:sz w:val="24"/>
          <w:szCs w:val="24"/>
        </w:rPr>
        <w:t>Atif</w:t>
      </w:r>
      <w:proofErr w:type="spellEnd"/>
      <w:r w:rsidRPr="002C2CAA">
        <w:rPr>
          <w:rFonts w:ascii="Times New Roman" w:hAnsi="Times New Roman" w:cs="Times New Roman"/>
          <w:sz w:val="24"/>
          <w:szCs w:val="24"/>
        </w:rPr>
        <w:t xml:space="preserve">, </w:t>
      </w:r>
      <w:proofErr w:type="spellStart"/>
      <w:r w:rsidRPr="002C2CAA">
        <w:rPr>
          <w:rFonts w:ascii="Times New Roman" w:hAnsi="Times New Roman" w:cs="Times New Roman"/>
          <w:sz w:val="24"/>
          <w:szCs w:val="24"/>
        </w:rPr>
        <w:t>Sauytbekova</w:t>
      </w:r>
      <w:proofErr w:type="spellEnd"/>
      <w:r w:rsidRPr="002C2CAA">
        <w:rPr>
          <w:rFonts w:ascii="Times New Roman" w:hAnsi="Times New Roman" w:cs="Times New Roman"/>
          <w:sz w:val="24"/>
          <w:szCs w:val="24"/>
        </w:rPr>
        <w:t xml:space="preserve"> and Macdonald, 2012). The level of exchange rate influences the level of trade and investment that consequently contribute to the economic growth and development. </w:t>
      </w:r>
    </w:p>
    <w:p w:rsidR="002C2CAA" w:rsidRPr="002C2CAA" w:rsidRDefault="002C2CAA" w:rsidP="00E74747">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The level of the exchange rate is determined by various factors. A lot of studies have carried out in this field to establish the most critical elements on the AUD exchange rate level. According to Chin et al. (2007), factors such as gross domestic product, inflation, interest rate, money supply and output are the significant determinants of the exchange rate. However, other factors such as foreign assets, net exports, political stability, share price index, and capital account balance have been considered determining the level of the exchange rate (</w:t>
      </w:r>
      <w:proofErr w:type="spellStart"/>
      <w:r w:rsidRPr="002C2CAA">
        <w:rPr>
          <w:rFonts w:ascii="Times New Roman" w:hAnsi="Times New Roman" w:cs="Times New Roman"/>
          <w:sz w:val="24"/>
          <w:szCs w:val="24"/>
        </w:rPr>
        <w:t>Ghosh</w:t>
      </w:r>
      <w:proofErr w:type="spellEnd"/>
      <w:r w:rsidRPr="002C2CAA">
        <w:rPr>
          <w:rFonts w:ascii="Times New Roman" w:hAnsi="Times New Roman" w:cs="Times New Roman"/>
          <w:sz w:val="24"/>
          <w:szCs w:val="24"/>
        </w:rPr>
        <w:t xml:space="preserve"> and </w:t>
      </w:r>
      <w:proofErr w:type="spellStart"/>
      <w:r w:rsidRPr="002C2CAA">
        <w:rPr>
          <w:rFonts w:ascii="Times New Roman" w:hAnsi="Times New Roman" w:cs="Times New Roman"/>
          <w:sz w:val="24"/>
          <w:szCs w:val="24"/>
        </w:rPr>
        <w:t>Rajan</w:t>
      </w:r>
      <w:proofErr w:type="spellEnd"/>
      <w:r w:rsidRPr="002C2CAA">
        <w:rPr>
          <w:rFonts w:ascii="Times New Roman" w:hAnsi="Times New Roman" w:cs="Times New Roman"/>
          <w:sz w:val="24"/>
          <w:szCs w:val="24"/>
        </w:rPr>
        <w:t xml:space="preserve">, 2007). </w:t>
      </w:r>
    </w:p>
    <w:p w:rsidR="0005698A" w:rsidRDefault="002C2CAA" w:rsidP="0005698A">
      <w:pPr>
        <w:spacing w:line="480" w:lineRule="auto"/>
        <w:jc w:val="both"/>
        <w:rPr>
          <w:rFonts w:ascii="Times New Roman" w:hAnsi="Times New Roman" w:cs="Times New Roman"/>
          <w:b/>
          <w:sz w:val="24"/>
          <w:szCs w:val="24"/>
        </w:rPr>
      </w:pPr>
      <w:r w:rsidRPr="0005698A">
        <w:rPr>
          <w:rFonts w:ascii="Times New Roman" w:hAnsi="Times New Roman" w:cs="Times New Roman"/>
          <w:b/>
          <w:sz w:val="24"/>
          <w:szCs w:val="24"/>
        </w:rPr>
        <w:t xml:space="preserve">Real Interest Rate Differentials </w:t>
      </w:r>
    </w:p>
    <w:p w:rsidR="002C2CAA" w:rsidRPr="0005698A" w:rsidRDefault="002C2CAA" w:rsidP="0005698A">
      <w:pPr>
        <w:spacing w:line="480" w:lineRule="auto"/>
        <w:ind w:firstLine="720"/>
        <w:jc w:val="both"/>
        <w:rPr>
          <w:rFonts w:ascii="Times New Roman" w:hAnsi="Times New Roman" w:cs="Times New Roman"/>
          <w:b/>
          <w:sz w:val="24"/>
          <w:szCs w:val="24"/>
        </w:rPr>
      </w:pPr>
      <w:r w:rsidRPr="002C2CAA">
        <w:rPr>
          <w:rFonts w:ascii="Times New Roman" w:hAnsi="Times New Roman" w:cs="Times New Roman"/>
          <w:sz w:val="24"/>
          <w:szCs w:val="24"/>
        </w:rPr>
        <w:t xml:space="preserve">Australia is one of the countries that promote free trade. Thus, supply and demand forces determine the exchange rate. Interest rate differential is one of the major determinants of the Australia’s exchange rate. The impact of interest rate on the exchange rate has different perspective including traditional view and the revisionist view (Yuan, 2011). </w:t>
      </w:r>
    </w:p>
    <w:p w:rsidR="002C2CAA" w:rsidRPr="002C2CAA" w:rsidRDefault="002C2CAA" w:rsidP="0005698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From the traditional point of view, an increase in the real interest rate of the AUD makes the Australian market attractive to foreign countries. Foreign investors become willing to invest in Australia’s financial assets and thereby increase the demand for AUD. Consequently, the </w:t>
      </w:r>
      <w:r w:rsidRPr="002C2CAA">
        <w:rPr>
          <w:rFonts w:ascii="Times New Roman" w:hAnsi="Times New Roman" w:cs="Times New Roman"/>
          <w:sz w:val="24"/>
          <w:szCs w:val="24"/>
        </w:rPr>
        <w:lastRenderedPageBreak/>
        <w:t xml:space="preserve">AUD appreciates in value against foreign currencies. The reverse is true when the interest rate in the U.S rises. However, the AUD depreciates against USD in this case. </w:t>
      </w:r>
    </w:p>
    <w:p w:rsidR="002C2CAA" w:rsidRPr="002C2CAA" w:rsidRDefault="002C2CAA" w:rsidP="0005698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From the revisionist point of view, a higher interest rate in Australia has a negative impact on the demand for Australian currency. Thus, the AUD depreciates because of higher default probability (</w:t>
      </w:r>
      <w:proofErr w:type="spellStart"/>
      <w:r w:rsidRPr="002C2CAA">
        <w:rPr>
          <w:rFonts w:ascii="Times New Roman" w:hAnsi="Times New Roman" w:cs="Times New Roman"/>
          <w:sz w:val="24"/>
          <w:szCs w:val="24"/>
        </w:rPr>
        <w:t>Hsing</w:t>
      </w:r>
      <w:proofErr w:type="spellEnd"/>
      <w:r w:rsidRPr="002C2CAA">
        <w:rPr>
          <w:rFonts w:ascii="Times New Roman" w:hAnsi="Times New Roman" w:cs="Times New Roman"/>
          <w:sz w:val="24"/>
          <w:szCs w:val="24"/>
        </w:rPr>
        <w:t xml:space="preserve">, 2015). Further, factors such as increased exchange rate risk premium and weaker financial position cause the AUD to depreciate. </w:t>
      </w:r>
    </w:p>
    <w:p w:rsidR="002C2CAA" w:rsidRPr="002C2CAA" w:rsidRDefault="002C2CAA" w:rsidP="0005698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The level of interest in the market is determined by the supply and demand forces. However, a government can also influence the level of interest rate to attain desired goals through the application of monetary policies (</w:t>
      </w:r>
      <w:proofErr w:type="spellStart"/>
      <w:r w:rsidRPr="002C2CAA">
        <w:rPr>
          <w:rFonts w:ascii="Times New Roman" w:hAnsi="Times New Roman" w:cs="Times New Roman"/>
          <w:sz w:val="24"/>
          <w:szCs w:val="24"/>
        </w:rPr>
        <w:t>Ghosh</w:t>
      </w:r>
      <w:proofErr w:type="spellEnd"/>
      <w:r w:rsidRPr="002C2CAA">
        <w:rPr>
          <w:rFonts w:ascii="Times New Roman" w:hAnsi="Times New Roman" w:cs="Times New Roman"/>
          <w:sz w:val="24"/>
          <w:szCs w:val="24"/>
        </w:rPr>
        <w:t xml:space="preserve"> and </w:t>
      </w:r>
      <w:proofErr w:type="spellStart"/>
      <w:r w:rsidRPr="002C2CAA">
        <w:rPr>
          <w:rFonts w:ascii="Times New Roman" w:hAnsi="Times New Roman" w:cs="Times New Roman"/>
          <w:sz w:val="24"/>
          <w:szCs w:val="24"/>
        </w:rPr>
        <w:t>Rajan</w:t>
      </w:r>
      <w:proofErr w:type="spellEnd"/>
      <w:r w:rsidRPr="002C2CAA">
        <w:rPr>
          <w:rFonts w:ascii="Times New Roman" w:hAnsi="Times New Roman" w:cs="Times New Roman"/>
          <w:sz w:val="24"/>
          <w:szCs w:val="24"/>
        </w:rPr>
        <w:t xml:space="preserve">, 2007). The Australian government through the Reserve bank either reduces or increases the base lending rate to financial banks to influence the demand for credit. </w:t>
      </w:r>
    </w:p>
    <w:p w:rsidR="002C2CAA" w:rsidRPr="0005698A" w:rsidRDefault="002C2CAA" w:rsidP="002C2CAA">
      <w:pPr>
        <w:spacing w:line="480" w:lineRule="auto"/>
        <w:rPr>
          <w:rFonts w:ascii="Times New Roman" w:hAnsi="Times New Roman" w:cs="Times New Roman"/>
          <w:b/>
          <w:sz w:val="24"/>
          <w:szCs w:val="24"/>
        </w:rPr>
      </w:pPr>
      <w:r w:rsidRPr="0005698A">
        <w:rPr>
          <w:rFonts w:ascii="Times New Roman" w:hAnsi="Times New Roman" w:cs="Times New Roman"/>
          <w:b/>
          <w:sz w:val="24"/>
          <w:szCs w:val="24"/>
        </w:rPr>
        <w:t>The Level of Real GDP</w:t>
      </w:r>
    </w:p>
    <w:p w:rsidR="002C2CAA" w:rsidRPr="002C2CAA" w:rsidRDefault="002C2CAA" w:rsidP="0005698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Real GDP also determines the AUD exchange rate. A higher real gross domestic product in Australia increases imports from foreign countries such as U.S. and the supply of the AUD and consequently reduces exchange rate. According to </w:t>
      </w:r>
      <w:proofErr w:type="spellStart"/>
      <w:r w:rsidRPr="002C2CAA">
        <w:rPr>
          <w:rFonts w:ascii="Times New Roman" w:hAnsi="Times New Roman" w:cs="Times New Roman"/>
          <w:sz w:val="24"/>
          <w:szCs w:val="24"/>
        </w:rPr>
        <w:t>Bahmani-Oskooee</w:t>
      </w:r>
      <w:proofErr w:type="spellEnd"/>
      <w:r w:rsidRPr="002C2CAA">
        <w:rPr>
          <w:rFonts w:ascii="Times New Roman" w:hAnsi="Times New Roman" w:cs="Times New Roman"/>
          <w:sz w:val="24"/>
          <w:szCs w:val="24"/>
        </w:rPr>
        <w:t xml:space="preserve"> and </w:t>
      </w:r>
      <w:proofErr w:type="spellStart"/>
      <w:r w:rsidRPr="002C2CAA">
        <w:rPr>
          <w:rFonts w:ascii="Times New Roman" w:hAnsi="Times New Roman" w:cs="Times New Roman"/>
          <w:sz w:val="24"/>
          <w:szCs w:val="24"/>
        </w:rPr>
        <w:t>Mitra</w:t>
      </w:r>
      <w:proofErr w:type="spellEnd"/>
      <w:r w:rsidRPr="002C2CAA">
        <w:rPr>
          <w:rFonts w:ascii="Times New Roman" w:hAnsi="Times New Roman" w:cs="Times New Roman"/>
          <w:sz w:val="24"/>
          <w:szCs w:val="24"/>
        </w:rPr>
        <w:t xml:space="preserve"> (2009), an increase in the real gross domestic product due to a rise in import of substitute goods, Australia’s </w:t>
      </w:r>
      <w:r w:rsidR="00A979A1" w:rsidRPr="002C2CAA">
        <w:rPr>
          <w:rFonts w:ascii="Times New Roman" w:hAnsi="Times New Roman" w:cs="Times New Roman"/>
          <w:sz w:val="24"/>
          <w:szCs w:val="24"/>
        </w:rPr>
        <w:t>imports from foreign countries reduce and consequently enhance</w:t>
      </w:r>
      <w:r w:rsidRPr="002C2CAA">
        <w:rPr>
          <w:rFonts w:ascii="Times New Roman" w:hAnsi="Times New Roman" w:cs="Times New Roman"/>
          <w:sz w:val="24"/>
          <w:szCs w:val="24"/>
        </w:rPr>
        <w:t xml:space="preserve"> the exchange rate in favor to the Australian currency. </w:t>
      </w:r>
    </w:p>
    <w:p w:rsidR="00A979A1" w:rsidRDefault="002C2CAA" w:rsidP="002C2CAA">
      <w:pPr>
        <w:spacing w:line="480" w:lineRule="auto"/>
        <w:rPr>
          <w:rFonts w:ascii="Times New Roman" w:hAnsi="Times New Roman" w:cs="Times New Roman"/>
          <w:b/>
          <w:sz w:val="24"/>
          <w:szCs w:val="24"/>
        </w:rPr>
      </w:pPr>
      <w:r w:rsidRPr="00A979A1">
        <w:rPr>
          <w:rFonts w:ascii="Times New Roman" w:hAnsi="Times New Roman" w:cs="Times New Roman"/>
          <w:b/>
          <w:sz w:val="24"/>
          <w:szCs w:val="24"/>
        </w:rPr>
        <w:t xml:space="preserve">Real Stock Prices </w:t>
      </w:r>
    </w:p>
    <w:p w:rsidR="002C2CAA" w:rsidRPr="00A979A1" w:rsidRDefault="002C2CAA" w:rsidP="00A979A1">
      <w:pPr>
        <w:spacing w:line="480" w:lineRule="auto"/>
        <w:ind w:firstLine="720"/>
        <w:rPr>
          <w:rFonts w:ascii="Times New Roman" w:hAnsi="Times New Roman" w:cs="Times New Roman"/>
          <w:b/>
          <w:sz w:val="24"/>
          <w:szCs w:val="24"/>
        </w:rPr>
      </w:pPr>
      <w:r w:rsidRPr="002C2CAA">
        <w:rPr>
          <w:rFonts w:ascii="Times New Roman" w:hAnsi="Times New Roman" w:cs="Times New Roman"/>
          <w:sz w:val="24"/>
          <w:szCs w:val="24"/>
        </w:rPr>
        <w:t>Real stock prices have an impact on the exchange rate in Australia Forex market (Blundell-</w:t>
      </w:r>
      <w:proofErr w:type="spellStart"/>
      <w:r w:rsidRPr="002C2CAA">
        <w:rPr>
          <w:rFonts w:ascii="Times New Roman" w:hAnsi="Times New Roman" w:cs="Times New Roman"/>
          <w:sz w:val="24"/>
          <w:szCs w:val="24"/>
        </w:rPr>
        <w:t>Wignall</w:t>
      </w:r>
      <w:proofErr w:type="spellEnd"/>
      <w:r w:rsidRPr="002C2CAA">
        <w:rPr>
          <w:rFonts w:ascii="Times New Roman" w:hAnsi="Times New Roman" w:cs="Times New Roman"/>
          <w:sz w:val="24"/>
          <w:szCs w:val="24"/>
        </w:rPr>
        <w:t xml:space="preserve">, </w:t>
      </w:r>
      <w:proofErr w:type="spellStart"/>
      <w:r w:rsidRPr="002C2CAA">
        <w:rPr>
          <w:rFonts w:ascii="Times New Roman" w:hAnsi="Times New Roman" w:cs="Times New Roman"/>
          <w:sz w:val="24"/>
          <w:szCs w:val="24"/>
        </w:rPr>
        <w:t>Fahrer</w:t>
      </w:r>
      <w:proofErr w:type="spellEnd"/>
      <w:r w:rsidRPr="002C2CAA">
        <w:rPr>
          <w:rFonts w:ascii="Times New Roman" w:hAnsi="Times New Roman" w:cs="Times New Roman"/>
          <w:sz w:val="24"/>
          <w:szCs w:val="24"/>
        </w:rPr>
        <w:t xml:space="preserve">, and Heath, 2017). A relatively higher Australian real stock price than </w:t>
      </w:r>
      <w:r w:rsidRPr="002C2CAA">
        <w:rPr>
          <w:rFonts w:ascii="Times New Roman" w:hAnsi="Times New Roman" w:cs="Times New Roman"/>
          <w:sz w:val="24"/>
          <w:szCs w:val="24"/>
        </w:rPr>
        <w:lastRenderedPageBreak/>
        <w:t xml:space="preserve">the US real stock price causes a decrease in the exchange rate (AUD/USD). Investors are rational, and they opt to invest in stocks with lower prices. Thus, the U.S stocks will be preferred by investors to the Australian stocks when the real prices are higher. The demand for USD increases and the AUD/USD exchange rate decreases since the USD appreciates in value relative to AUD. </w:t>
      </w:r>
    </w:p>
    <w:p w:rsidR="002C2CAA" w:rsidRPr="00A979A1" w:rsidRDefault="002C2CAA" w:rsidP="00A979A1">
      <w:pPr>
        <w:spacing w:line="480" w:lineRule="auto"/>
        <w:jc w:val="center"/>
        <w:rPr>
          <w:rFonts w:ascii="Times New Roman" w:hAnsi="Times New Roman" w:cs="Times New Roman"/>
          <w:b/>
          <w:sz w:val="24"/>
          <w:szCs w:val="24"/>
        </w:rPr>
      </w:pPr>
      <w:r w:rsidRPr="00A979A1">
        <w:rPr>
          <w:rFonts w:ascii="Times New Roman" w:hAnsi="Times New Roman" w:cs="Times New Roman"/>
          <w:b/>
          <w:sz w:val="24"/>
          <w:szCs w:val="24"/>
        </w:rPr>
        <w:t>(c)    Analysis of AUD against USD</w:t>
      </w:r>
    </w:p>
    <w:p w:rsidR="002C2CAA" w:rsidRDefault="002C2CAA" w:rsidP="002C2CAA">
      <w:pPr>
        <w:spacing w:line="480" w:lineRule="auto"/>
        <w:rPr>
          <w:rFonts w:ascii="Times New Roman" w:hAnsi="Times New Roman" w:cs="Times New Roman"/>
          <w:b/>
          <w:sz w:val="24"/>
          <w:szCs w:val="24"/>
        </w:rPr>
      </w:pPr>
      <w:r w:rsidRPr="00A979A1">
        <w:rPr>
          <w:rFonts w:ascii="Times New Roman" w:hAnsi="Times New Roman" w:cs="Times New Roman"/>
          <w:b/>
          <w:sz w:val="24"/>
          <w:szCs w:val="24"/>
        </w:rPr>
        <w:t>Nominal Exchange Rate</w:t>
      </w:r>
    </w:p>
    <w:p w:rsidR="002D7AD6" w:rsidRDefault="002D7AD6" w:rsidP="002D7A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1: Nominal Exchange Rate </w:t>
      </w:r>
      <w:r w:rsidR="002C03FF">
        <w:rPr>
          <w:rFonts w:ascii="Times New Roman" w:hAnsi="Times New Roman" w:cs="Times New Roman"/>
          <w:b/>
          <w:sz w:val="24"/>
          <w:szCs w:val="24"/>
        </w:rPr>
        <w:t>(Data - Appendix)</w:t>
      </w:r>
    </w:p>
    <w:p w:rsidR="002D7AD6" w:rsidRPr="00A979A1" w:rsidRDefault="002D7AD6" w:rsidP="002C2CAA">
      <w:pPr>
        <w:spacing w:line="480" w:lineRule="auto"/>
        <w:rPr>
          <w:rFonts w:ascii="Times New Roman" w:hAnsi="Times New Roman" w:cs="Times New Roman"/>
          <w:b/>
          <w:sz w:val="24"/>
          <w:szCs w:val="24"/>
        </w:rPr>
      </w:pPr>
      <w:r w:rsidRPr="002D7AD6">
        <w:rPr>
          <w:rFonts w:ascii="Times New Roman" w:hAnsi="Times New Roman" w:cs="Times New Roman"/>
          <w:b/>
          <w:sz w:val="24"/>
          <w:szCs w:val="24"/>
        </w:rPr>
        <w:drawing>
          <wp:inline distT="0" distB="0" distL="0" distR="0">
            <wp:extent cx="5920950" cy="2743200"/>
            <wp:effectExtent l="19050" t="0" r="22650" b="0"/>
            <wp:docPr id="61"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C2CAA" w:rsidRPr="002C2CAA" w:rsidRDefault="002C2CAA" w:rsidP="00A979A1">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The nominal exchange was highest in October 2014, and the currencies exchanged at 1AUD/0.8805 USD. However, after a year, the exchange rate dropped to 1 AUD/0.7010USD in September 2015. The trend took an upward trend and now trades on an average of 1 AUD/0.78USD (Reserve Bank of Australia, 2017). Although the nominal trend has been </w:t>
      </w:r>
      <w:r w:rsidRPr="002C2CAA">
        <w:rPr>
          <w:rFonts w:ascii="Times New Roman" w:hAnsi="Times New Roman" w:cs="Times New Roman"/>
          <w:sz w:val="24"/>
          <w:szCs w:val="24"/>
        </w:rPr>
        <w:lastRenderedPageBreak/>
        <w:t xml:space="preserve">fluctuating evenly, the pattern indicates an upward movement showing that the AUD appreciates against USD over time. </w:t>
      </w:r>
    </w:p>
    <w:p w:rsidR="002C2CAA" w:rsidRDefault="002C2CAA" w:rsidP="002C2CAA">
      <w:pPr>
        <w:spacing w:line="480" w:lineRule="auto"/>
        <w:rPr>
          <w:rFonts w:ascii="Times New Roman" w:hAnsi="Times New Roman" w:cs="Times New Roman"/>
          <w:b/>
          <w:sz w:val="24"/>
          <w:szCs w:val="24"/>
        </w:rPr>
      </w:pPr>
      <w:r w:rsidRPr="00A979A1">
        <w:rPr>
          <w:rFonts w:ascii="Times New Roman" w:hAnsi="Times New Roman" w:cs="Times New Roman"/>
          <w:b/>
          <w:sz w:val="24"/>
          <w:szCs w:val="24"/>
        </w:rPr>
        <w:t xml:space="preserve">Trade Weighted Index </w:t>
      </w:r>
    </w:p>
    <w:p w:rsidR="002C03FF" w:rsidRDefault="002C03FF" w:rsidP="002C03F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Figure 2: Trade – Weighted Index</w:t>
      </w:r>
      <w:r w:rsidR="000F07BA">
        <w:rPr>
          <w:rFonts w:ascii="Times New Roman" w:hAnsi="Times New Roman" w:cs="Times New Roman"/>
          <w:b/>
          <w:sz w:val="24"/>
          <w:szCs w:val="24"/>
        </w:rPr>
        <w:t xml:space="preserve"> (Data - Appendix)</w:t>
      </w:r>
    </w:p>
    <w:p w:rsidR="002C03FF" w:rsidRPr="00A979A1" w:rsidRDefault="002C03FF" w:rsidP="002C2CAA">
      <w:pPr>
        <w:spacing w:line="480" w:lineRule="auto"/>
        <w:rPr>
          <w:rFonts w:ascii="Times New Roman" w:hAnsi="Times New Roman" w:cs="Times New Roman"/>
          <w:b/>
          <w:sz w:val="24"/>
          <w:szCs w:val="24"/>
        </w:rPr>
      </w:pPr>
      <w:r w:rsidRPr="002C03FF">
        <w:rPr>
          <w:rFonts w:ascii="Times New Roman" w:hAnsi="Times New Roman" w:cs="Times New Roman"/>
          <w:b/>
          <w:sz w:val="24"/>
          <w:szCs w:val="24"/>
        </w:rPr>
        <w:drawing>
          <wp:inline distT="0" distB="0" distL="0" distR="0">
            <wp:extent cx="5884950" cy="2743200"/>
            <wp:effectExtent l="19050" t="0" r="20550" b="0"/>
            <wp:docPr id="62"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C2CAA" w:rsidRPr="002C2CAA" w:rsidRDefault="002C2CAA" w:rsidP="00A979A1">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The weighted trade index was high in September 2014 reaching the highest index at 68.9. Just like the nominal exchange rate, the trade-weighted index indicates a similar fluctuation (Reserve Bank of Australia, 2017). However, it shows uneven volatility over the five years. The trade-weighted index was lowest in September 2015 hit the 59.9 mark. Just like the nominal exchange rate between the AUD and USD, September 2015, recorded the lowest performance. </w:t>
      </w:r>
    </w:p>
    <w:p w:rsidR="002C2CAA" w:rsidRPr="00A979A1" w:rsidRDefault="002C2CAA" w:rsidP="002C2CAA">
      <w:pPr>
        <w:spacing w:line="480" w:lineRule="auto"/>
        <w:rPr>
          <w:rFonts w:ascii="Times New Roman" w:hAnsi="Times New Roman" w:cs="Times New Roman"/>
          <w:b/>
          <w:sz w:val="24"/>
          <w:szCs w:val="24"/>
        </w:rPr>
      </w:pPr>
      <w:r w:rsidRPr="00A979A1">
        <w:rPr>
          <w:rFonts w:ascii="Times New Roman" w:hAnsi="Times New Roman" w:cs="Times New Roman"/>
          <w:b/>
          <w:sz w:val="24"/>
          <w:szCs w:val="24"/>
        </w:rPr>
        <w:t xml:space="preserve">Commodity Price Movement </w:t>
      </w:r>
      <w:r w:rsidR="000F07BA">
        <w:rPr>
          <w:rFonts w:ascii="Times New Roman" w:hAnsi="Times New Roman" w:cs="Times New Roman"/>
          <w:b/>
          <w:sz w:val="24"/>
          <w:szCs w:val="24"/>
        </w:rPr>
        <w:t>(Data -Appendix)</w:t>
      </w:r>
    </w:p>
    <w:p w:rsidR="002C2CAA" w:rsidRPr="002C2CAA" w:rsidRDefault="002C2CAA" w:rsidP="000F07B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A similar trend is observed on the world commodity prices movement. September 2015, had the lowest prices compared to other months under study (World Bank, 2017). The commodity prices are directly related to the nominal exchange rate and the trade-weighted index. </w:t>
      </w:r>
      <w:r w:rsidRPr="002C2CAA">
        <w:rPr>
          <w:rFonts w:ascii="Times New Roman" w:hAnsi="Times New Roman" w:cs="Times New Roman"/>
          <w:sz w:val="24"/>
          <w:szCs w:val="24"/>
        </w:rPr>
        <w:lastRenderedPageBreak/>
        <w:t xml:space="preserve">A reduction in the exchange rate causes a decline in the commodity prices and affects the overall trade-weighted index. In other words, September 2015 was worst hit by the recession and affected the foreign trade and consequently the exchange rates. </w:t>
      </w:r>
    </w:p>
    <w:p w:rsidR="002C2CAA" w:rsidRPr="000F07BA" w:rsidRDefault="000F07BA" w:rsidP="000F07B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w:t>
      </w:r>
      <w:r w:rsidRPr="000F07BA">
        <w:rPr>
          <w:rFonts w:ascii="Times New Roman" w:hAnsi="Times New Roman" w:cs="Times New Roman"/>
          <w:b/>
          <w:sz w:val="24"/>
          <w:szCs w:val="24"/>
        </w:rPr>
        <w:t xml:space="preserve">)    </w:t>
      </w:r>
      <w:r w:rsidR="002C2CAA" w:rsidRPr="000F07BA">
        <w:rPr>
          <w:rFonts w:ascii="Times New Roman" w:hAnsi="Times New Roman" w:cs="Times New Roman"/>
          <w:b/>
          <w:sz w:val="24"/>
          <w:szCs w:val="24"/>
        </w:rPr>
        <w:t xml:space="preserve">Impact </w:t>
      </w:r>
      <w:r w:rsidRPr="000F07BA">
        <w:rPr>
          <w:rFonts w:ascii="Times New Roman" w:hAnsi="Times New Roman" w:cs="Times New Roman"/>
          <w:b/>
          <w:sz w:val="24"/>
          <w:szCs w:val="24"/>
        </w:rPr>
        <w:t xml:space="preserve">of Overvalued </w:t>
      </w:r>
      <w:r w:rsidR="002C2CAA" w:rsidRPr="000F07BA">
        <w:rPr>
          <w:rFonts w:ascii="Times New Roman" w:hAnsi="Times New Roman" w:cs="Times New Roman"/>
          <w:b/>
          <w:sz w:val="24"/>
          <w:szCs w:val="24"/>
        </w:rPr>
        <w:t xml:space="preserve">AUD </w:t>
      </w:r>
      <w:r w:rsidRPr="000F07BA">
        <w:rPr>
          <w:rFonts w:ascii="Times New Roman" w:hAnsi="Times New Roman" w:cs="Times New Roman"/>
          <w:b/>
          <w:sz w:val="24"/>
          <w:szCs w:val="24"/>
        </w:rPr>
        <w:t>on Exports Income</w:t>
      </w:r>
    </w:p>
    <w:p w:rsidR="002C2CAA" w:rsidRPr="002C2CAA" w:rsidRDefault="002C2CAA" w:rsidP="000F07B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Overvaluation of a currency makes a country exports expensive. This is because an increase in the value of an exporting country currency reduces the purchasing power of the foreign importers (Yuan, 2011). An overvaluation of the AUD implies that the exports become expensive to foreign importers hence a reduction in the alcoholic beverages income. Consumers would prefer consumption of substitute alcoholic products from other markets. Consequently, the export income of the country reduces. Foreign importers shift consumption of the Australian products to other competitors in other countries. </w:t>
      </w:r>
    </w:p>
    <w:p w:rsidR="002C2CAA" w:rsidRPr="002C2CAA" w:rsidRDefault="002C2CAA" w:rsidP="000F07B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One of the advantages of the overvaluation of the AUD is when the exports have no close substitute in the foreign markets. In other words, Australia has a comparative advantage when the country controls or owns rare commodities. In such case, an overvaluation of the AUD has a positive impact on the exports revenue. Lack of a close substitute forces foreign importers to import the rare commodities from Australia. </w:t>
      </w:r>
    </w:p>
    <w:p w:rsidR="002C2CAA" w:rsidRPr="0018236E" w:rsidRDefault="002C2CAA" w:rsidP="002C2CAA">
      <w:pPr>
        <w:spacing w:line="480" w:lineRule="auto"/>
        <w:rPr>
          <w:rFonts w:ascii="Times New Roman" w:hAnsi="Times New Roman" w:cs="Times New Roman"/>
          <w:b/>
          <w:sz w:val="24"/>
          <w:szCs w:val="24"/>
        </w:rPr>
      </w:pPr>
      <w:r w:rsidRPr="0018236E">
        <w:rPr>
          <w:rFonts w:ascii="Times New Roman" w:hAnsi="Times New Roman" w:cs="Times New Roman"/>
          <w:b/>
          <w:sz w:val="24"/>
          <w:szCs w:val="24"/>
        </w:rPr>
        <w:t xml:space="preserve">Advantages and Disadvantages of Overvalued AUD </w:t>
      </w:r>
    </w:p>
    <w:p w:rsidR="002C2CAA" w:rsidRPr="002C2CAA" w:rsidRDefault="002C2CAA" w:rsidP="0018236E">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When a country’s currency gains strength against other currencies, it usually indicates that the country’s economy is more productive and competitive. The overvaluation of the AUD against the USD has many benefits to the economy. However, overvaluation of the currency has some limitations to the general economy of the country. The main reasons for the existence of advantages and disadvantages lie with the reason why a currency is overvalued and when a </w:t>
      </w:r>
      <w:r w:rsidRPr="002C2CAA">
        <w:rPr>
          <w:rFonts w:ascii="Times New Roman" w:hAnsi="Times New Roman" w:cs="Times New Roman"/>
          <w:sz w:val="24"/>
          <w:szCs w:val="24"/>
        </w:rPr>
        <w:lastRenderedPageBreak/>
        <w:t xml:space="preserve">currency is overvalued. The questions why and when overvaluation of a currency answers the question whether overvaluation is beneficial or detrimental to the economic performance. </w:t>
      </w:r>
    </w:p>
    <w:p w:rsidR="002C2CAA" w:rsidRPr="002C2CAA" w:rsidRDefault="002C2CAA" w:rsidP="0018236E">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When a currency is overvalued due to strong economic factors such as increased productivity, the economy is in a position to absorb losses inherent to the competitiveness of a strong currency. Further, if the overvaluation appears during the economic boom, it is beneficial to an economy in reducing the inflationary pressure as well as maintaining significant economic growth. However, during a recession, overvaluation of a currency results to sinking an economy deeper into economic depression. A strong currency during recession reduces local demand and thus affects the economic progress of a country negatively. </w:t>
      </w:r>
    </w:p>
    <w:p w:rsidR="002C2CAA" w:rsidRPr="0018236E" w:rsidRDefault="002C2CAA" w:rsidP="002C2CAA">
      <w:pPr>
        <w:spacing w:line="480" w:lineRule="auto"/>
        <w:rPr>
          <w:rFonts w:ascii="Times New Roman" w:hAnsi="Times New Roman" w:cs="Times New Roman"/>
          <w:b/>
          <w:sz w:val="24"/>
          <w:szCs w:val="24"/>
        </w:rPr>
      </w:pPr>
      <w:r w:rsidRPr="0018236E">
        <w:rPr>
          <w:rFonts w:ascii="Times New Roman" w:hAnsi="Times New Roman" w:cs="Times New Roman"/>
          <w:b/>
          <w:sz w:val="24"/>
          <w:szCs w:val="24"/>
        </w:rPr>
        <w:t xml:space="preserve">Advantages </w:t>
      </w:r>
    </w:p>
    <w:p w:rsidR="002C2CAA" w:rsidRPr="0018236E" w:rsidRDefault="002C2CAA" w:rsidP="002C2CAA">
      <w:pPr>
        <w:spacing w:line="480" w:lineRule="auto"/>
        <w:rPr>
          <w:rFonts w:ascii="Times New Roman" w:hAnsi="Times New Roman" w:cs="Times New Roman"/>
          <w:b/>
          <w:i/>
          <w:sz w:val="24"/>
          <w:szCs w:val="24"/>
        </w:rPr>
      </w:pPr>
      <w:r w:rsidRPr="0018236E">
        <w:rPr>
          <w:rFonts w:ascii="Times New Roman" w:hAnsi="Times New Roman" w:cs="Times New Roman"/>
          <w:b/>
          <w:i/>
          <w:sz w:val="24"/>
          <w:szCs w:val="24"/>
        </w:rPr>
        <w:t>A Reduction in the Prices of Imports</w:t>
      </w:r>
    </w:p>
    <w:p w:rsidR="002C2CAA" w:rsidRPr="002C2CAA" w:rsidRDefault="002C2CAA" w:rsidP="00195D2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When the AUD is overvalued against currencies such as USD, imports become cheaper. Both consumers and firms can obtain products from U.S at relatively lower prices. Manufacturing firms obtain more inexpensive raw material from the U.S and therefore reducing the cost of production and increasing the profitability of the business. Further, the purchasing power of the consumers on imports is enhanced while revenue from alcoholic beverages revenue increases. </w:t>
      </w:r>
    </w:p>
    <w:p w:rsidR="002C2CAA" w:rsidRPr="00195D2A" w:rsidRDefault="002C2CAA" w:rsidP="002C2CAA">
      <w:pPr>
        <w:spacing w:line="480" w:lineRule="auto"/>
        <w:rPr>
          <w:rFonts w:ascii="Times New Roman" w:hAnsi="Times New Roman" w:cs="Times New Roman"/>
          <w:b/>
          <w:i/>
          <w:sz w:val="24"/>
          <w:szCs w:val="24"/>
        </w:rPr>
      </w:pPr>
      <w:r w:rsidRPr="00195D2A">
        <w:rPr>
          <w:rFonts w:ascii="Times New Roman" w:hAnsi="Times New Roman" w:cs="Times New Roman"/>
          <w:b/>
          <w:i/>
          <w:sz w:val="24"/>
          <w:szCs w:val="24"/>
        </w:rPr>
        <w:t xml:space="preserve">Reduces Inflationary Pressures </w:t>
      </w:r>
    </w:p>
    <w:p w:rsidR="002C2CAA" w:rsidRPr="002C2CAA" w:rsidRDefault="002C2CAA" w:rsidP="00195D2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Overvaluation of the AUD reduces the inflationary pressures. The inflation rate is reduced since the imports become cheaper than the local products. Thus, firms do not incline to </w:t>
      </w:r>
      <w:r w:rsidRPr="002C2CAA">
        <w:rPr>
          <w:rFonts w:ascii="Times New Roman" w:hAnsi="Times New Roman" w:cs="Times New Roman"/>
          <w:sz w:val="24"/>
          <w:szCs w:val="24"/>
        </w:rPr>
        <w:lastRenderedPageBreak/>
        <w:t>increase commodity prices since consumers would shift demand to the foreign market (</w:t>
      </w:r>
      <w:proofErr w:type="spellStart"/>
      <w:r w:rsidRPr="002C2CAA">
        <w:rPr>
          <w:rFonts w:ascii="Times New Roman" w:hAnsi="Times New Roman" w:cs="Times New Roman"/>
          <w:sz w:val="24"/>
          <w:szCs w:val="24"/>
        </w:rPr>
        <w:t>Kohlscheen</w:t>
      </w:r>
      <w:proofErr w:type="spellEnd"/>
      <w:r w:rsidRPr="002C2CAA">
        <w:rPr>
          <w:rFonts w:ascii="Times New Roman" w:hAnsi="Times New Roman" w:cs="Times New Roman"/>
          <w:sz w:val="24"/>
          <w:szCs w:val="24"/>
        </w:rPr>
        <w:t xml:space="preserve">, 2013). </w:t>
      </w:r>
    </w:p>
    <w:p w:rsidR="002C2CAA" w:rsidRPr="00195D2A" w:rsidRDefault="002C2CAA" w:rsidP="002C2CAA">
      <w:pPr>
        <w:spacing w:line="480" w:lineRule="auto"/>
        <w:rPr>
          <w:rFonts w:ascii="Times New Roman" w:hAnsi="Times New Roman" w:cs="Times New Roman"/>
          <w:b/>
          <w:sz w:val="24"/>
          <w:szCs w:val="24"/>
        </w:rPr>
      </w:pPr>
      <w:r w:rsidRPr="00195D2A">
        <w:rPr>
          <w:rFonts w:ascii="Times New Roman" w:hAnsi="Times New Roman" w:cs="Times New Roman"/>
          <w:b/>
          <w:sz w:val="24"/>
          <w:szCs w:val="24"/>
        </w:rPr>
        <w:t xml:space="preserve">Disadvantages </w:t>
      </w:r>
    </w:p>
    <w:p w:rsidR="002C2CAA" w:rsidRPr="00195D2A" w:rsidRDefault="002C2CAA" w:rsidP="002C2CAA">
      <w:pPr>
        <w:spacing w:line="480" w:lineRule="auto"/>
        <w:rPr>
          <w:rFonts w:ascii="Times New Roman" w:hAnsi="Times New Roman" w:cs="Times New Roman"/>
          <w:b/>
          <w:i/>
          <w:sz w:val="24"/>
          <w:szCs w:val="24"/>
        </w:rPr>
      </w:pPr>
      <w:r w:rsidRPr="00195D2A">
        <w:rPr>
          <w:rFonts w:ascii="Times New Roman" w:hAnsi="Times New Roman" w:cs="Times New Roman"/>
          <w:b/>
          <w:i/>
          <w:sz w:val="24"/>
          <w:szCs w:val="24"/>
        </w:rPr>
        <w:t xml:space="preserve">Impairs Export Trade </w:t>
      </w:r>
    </w:p>
    <w:p w:rsidR="002C2CAA" w:rsidRPr="002C2CAA" w:rsidRDefault="002C2CAA" w:rsidP="00195D2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Overvalued AUD makes export trade uncompetitive relative to other exporting countries. Overvaluation of a currency increases the exchange rate between one currency to another making exports expensive (</w:t>
      </w:r>
      <w:proofErr w:type="spellStart"/>
      <w:r w:rsidRPr="002C2CAA">
        <w:rPr>
          <w:rFonts w:ascii="Times New Roman" w:hAnsi="Times New Roman" w:cs="Times New Roman"/>
          <w:sz w:val="24"/>
          <w:szCs w:val="24"/>
        </w:rPr>
        <w:t>Gourinchas</w:t>
      </w:r>
      <w:proofErr w:type="spellEnd"/>
      <w:r w:rsidRPr="002C2CAA">
        <w:rPr>
          <w:rFonts w:ascii="Times New Roman" w:hAnsi="Times New Roman" w:cs="Times New Roman"/>
          <w:sz w:val="24"/>
          <w:szCs w:val="24"/>
        </w:rPr>
        <w:t xml:space="preserve"> and </w:t>
      </w:r>
      <w:proofErr w:type="spellStart"/>
      <w:r w:rsidRPr="002C2CAA">
        <w:rPr>
          <w:rFonts w:ascii="Times New Roman" w:hAnsi="Times New Roman" w:cs="Times New Roman"/>
          <w:sz w:val="24"/>
          <w:szCs w:val="24"/>
        </w:rPr>
        <w:t>Rabanal</w:t>
      </w:r>
      <w:proofErr w:type="spellEnd"/>
      <w:r w:rsidRPr="002C2CAA">
        <w:rPr>
          <w:rFonts w:ascii="Times New Roman" w:hAnsi="Times New Roman" w:cs="Times New Roman"/>
          <w:sz w:val="24"/>
          <w:szCs w:val="24"/>
        </w:rPr>
        <w:t xml:space="preserve">, 2017). The impact reduces the U.S importers’ purchasing power. Therefore, overvaluation of AUD affects the export industry negatively through the reduction in demand for Australian commodities by foreign consumers and firms. In this case, the export business of exporting alcohol drinks is affected adversely. </w:t>
      </w:r>
    </w:p>
    <w:p w:rsidR="002C2CAA" w:rsidRPr="00195D2A" w:rsidRDefault="002C2CAA" w:rsidP="002C2CAA">
      <w:pPr>
        <w:spacing w:line="480" w:lineRule="auto"/>
        <w:rPr>
          <w:rFonts w:ascii="Times New Roman" w:hAnsi="Times New Roman" w:cs="Times New Roman"/>
          <w:b/>
          <w:i/>
          <w:sz w:val="24"/>
          <w:szCs w:val="24"/>
        </w:rPr>
      </w:pPr>
      <w:r w:rsidRPr="00195D2A">
        <w:rPr>
          <w:rFonts w:ascii="Times New Roman" w:hAnsi="Times New Roman" w:cs="Times New Roman"/>
          <w:b/>
          <w:i/>
          <w:sz w:val="24"/>
          <w:szCs w:val="24"/>
        </w:rPr>
        <w:t xml:space="preserve">Affects the Domestic Industries </w:t>
      </w:r>
    </w:p>
    <w:p w:rsidR="002C2CAA" w:rsidRPr="002C2CAA" w:rsidRDefault="002C2CAA" w:rsidP="00195D2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Overvaluation of a currency makes imports cheaper (</w:t>
      </w:r>
      <w:proofErr w:type="spellStart"/>
      <w:r w:rsidRPr="002C2CAA">
        <w:rPr>
          <w:rFonts w:ascii="Times New Roman" w:hAnsi="Times New Roman" w:cs="Times New Roman"/>
          <w:sz w:val="24"/>
          <w:szCs w:val="24"/>
        </w:rPr>
        <w:t>Gourinchas</w:t>
      </w:r>
      <w:proofErr w:type="spellEnd"/>
      <w:r w:rsidRPr="002C2CAA">
        <w:rPr>
          <w:rFonts w:ascii="Times New Roman" w:hAnsi="Times New Roman" w:cs="Times New Roman"/>
          <w:sz w:val="24"/>
          <w:szCs w:val="24"/>
        </w:rPr>
        <w:t xml:space="preserve"> and </w:t>
      </w:r>
      <w:proofErr w:type="spellStart"/>
      <w:r w:rsidRPr="002C2CAA">
        <w:rPr>
          <w:rFonts w:ascii="Times New Roman" w:hAnsi="Times New Roman" w:cs="Times New Roman"/>
          <w:sz w:val="24"/>
          <w:szCs w:val="24"/>
        </w:rPr>
        <w:t>Rabanal</w:t>
      </w:r>
      <w:proofErr w:type="spellEnd"/>
      <w:r w:rsidRPr="002C2CAA">
        <w:rPr>
          <w:rFonts w:ascii="Times New Roman" w:hAnsi="Times New Roman" w:cs="Times New Roman"/>
          <w:sz w:val="24"/>
          <w:szCs w:val="24"/>
        </w:rPr>
        <w:t xml:space="preserve">, 2017). This is because firms and consumers have higher purchasing power in the foreign markets due to a higher exchange rate of the AUD against USD. Thus, consumers would prefer importing commodities from the international market. Consequently, the local industries are affected due to reduced demand for the products. </w:t>
      </w:r>
    </w:p>
    <w:p w:rsidR="002C2CAA" w:rsidRPr="00195D2A" w:rsidRDefault="002C2CAA" w:rsidP="00195D2A">
      <w:pPr>
        <w:spacing w:line="480" w:lineRule="auto"/>
        <w:jc w:val="center"/>
        <w:rPr>
          <w:rFonts w:ascii="Times New Roman" w:hAnsi="Times New Roman" w:cs="Times New Roman"/>
          <w:b/>
          <w:sz w:val="24"/>
          <w:szCs w:val="24"/>
        </w:rPr>
      </w:pPr>
      <w:r w:rsidRPr="00195D2A">
        <w:rPr>
          <w:rFonts w:ascii="Times New Roman" w:hAnsi="Times New Roman" w:cs="Times New Roman"/>
          <w:b/>
          <w:sz w:val="24"/>
          <w:szCs w:val="24"/>
        </w:rPr>
        <w:t>(e)    The Role of Reserve Bank of Australia in Restoring</w:t>
      </w:r>
      <w:r w:rsidR="00195D2A" w:rsidRPr="00195D2A">
        <w:rPr>
          <w:rFonts w:ascii="Times New Roman" w:hAnsi="Times New Roman" w:cs="Times New Roman"/>
          <w:b/>
          <w:sz w:val="24"/>
          <w:szCs w:val="24"/>
        </w:rPr>
        <w:t xml:space="preserve"> the Exchange Rate from US 76c t</w:t>
      </w:r>
      <w:r w:rsidRPr="00195D2A">
        <w:rPr>
          <w:rFonts w:ascii="Times New Roman" w:hAnsi="Times New Roman" w:cs="Times New Roman"/>
          <w:b/>
          <w:sz w:val="24"/>
          <w:szCs w:val="24"/>
        </w:rPr>
        <w:t>o US72C</w:t>
      </w:r>
    </w:p>
    <w:p w:rsidR="002C2CAA" w:rsidRPr="002C2CAA" w:rsidRDefault="002C2CAA" w:rsidP="00195D2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Governments through their central or reserve banks influence macroeconomic variables to achieve the desired results. The reserve bank of Australia can restore the exchange rate from </w:t>
      </w:r>
      <w:r w:rsidRPr="002C2CAA">
        <w:rPr>
          <w:rFonts w:ascii="Times New Roman" w:hAnsi="Times New Roman" w:cs="Times New Roman"/>
          <w:sz w:val="24"/>
          <w:szCs w:val="24"/>
        </w:rPr>
        <w:lastRenderedPageBreak/>
        <w:t>US 76c To US72C through the application of monetary policies (</w:t>
      </w:r>
      <w:proofErr w:type="spellStart"/>
      <w:r w:rsidRPr="002C2CAA">
        <w:rPr>
          <w:rFonts w:ascii="Times New Roman" w:hAnsi="Times New Roman" w:cs="Times New Roman"/>
          <w:sz w:val="24"/>
          <w:szCs w:val="24"/>
        </w:rPr>
        <w:t>Kohlscheen</w:t>
      </w:r>
      <w:proofErr w:type="spellEnd"/>
      <w:r w:rsidRPr="002C2CAA">
        <w:rPr>
          <w:rFonts w:ascii="Times New Roman" w:hAnsi="Times New Roman" w:cs="Times New Roman"/>
          <w:sz w:val="24"/>
          <w:szCs w:val="24"/>
        </w:rPr>
        <w:t xml:space="preserve">, 2013). The reserve bank can attain the objective through the change of the interest rate in the market. </w:t>
      </w:r>
    </w:p>
    <w:p w:rsidR="002C2CAA" w:rsidRPr="002C2CAA" w:rsidRDefault="002C2CAA" w:rsidP="00195D2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 xml:space="preserve">A reduction of the base lending rate in Australia by the reserve bank to the prevailing interest rate in the US will increase the demand for AUD. An increase in demand causes the AUD to appreciate against the USD, and the objective will be met. </w:t>
      </w:r>
    </w:p>
    <w:p w:rsidR="00BC43A8" w:rsidRDefault="002C2CAA" w:rsidP="00195D2A">
      <w:pPr>
        <w:spacing w:line="480" w:lineRule="auto"/>
        <w:ind w:firstLine="720"/>
        <w:rPr>
          <w:rFonts w:ascii="Times New Roman" w:hAnsi="Times New Roman" w:cs="Times New Roman"/>
          <w:sz w:val="24"/>
          <w:szCs w:val="24"/>
        </w:rPr>
      </w:pPr>
      <w:r w:rsidRPr="002C2CAA">
        <w:rPr>
          <w:rFonts w:ascii="Times New Roman" w:hAnsi="Times New Roman" w:cs="Times New Roman"/>
          <w:sz w:val="24"/>
          <w:szCs w:val="24"/>
        </w:rPr>
        <w:t>A reduction in the interest rate has other consequences in an economy (</w:t>
      </w:r>
      <w:proofErr w:type="spellStart"/>
      <w:r w:rsidRPr="002C2CAA">
        <w:rPr>
          <w:rFonts w:ascii="Times New Roman" w:hAnsi="Times New Roman" w:cs="Times New Roman"/>
          <w:sz w:val="24"/>
          <w:szCs w:val="24"/>
        </w:rPr>
        <w:t>Gourinchas</w:t>
      </w:r>
      <w:proofErr w:type="spellEnd"/>
      <w:r w:rsidRPr="002C2CAA">
        <w:rPr>
          <w:rFonts w:ascii="Times New Roman" w:hAnsi="Times New Roman" w:cs="Times New Roman"/>
          <w:sz w:val="24"/>
          <w:szCs w:val="24"/>
        </w:rPr>
        <w:t xml:space="preserve"> and </w:t>
      </w:r>
      <w:proofErr w:type="spellStart"/>
      <w:r w:rsidRPr="002C2CAA">
        <w:rPr>
          <w:rFonts w:ascii="Times New Roman" w:hAnsi="Times New Roman" w:cs="Times New Roman"/>
          <w:sz w:val="24"/>
          <w:szCs w:val="24"/>
        </w:rPr>
        <w:t>Rabanal</w:t>
      </w:r>
      <w:proofErr w:type="spellEnd"/>
      <w:r w:rsidRPr="002C2CAA">
        <w:rPr>
          <w:rFonts w:ascii="Times New Roman" w:hAnsi="Times New Roman" w:cs="Times New Roman"/>
          <w:sz w:val="24"/>
          <w:szCs w:val="24"/>
        </w:rPr>
        <w:t>, 2017). When the reserve bank is to make the AUD appreciate in value than the USD, other impacts are experienced in the economy. One of the consequences of reducing the interest rate is increased the money supply (</w:t>
      </w:r>
      <w:proofErr w:type="spellStart"/>
      <w:r w:rsidRPr="002C2CAA">
        <w:rPr>
          <w:rFonts w:ascii="Times New Roman" w:hAnsi="Times New Roman" w:cs="Times New Roman"/>
          <w:sz w:val="24"/>
          <w:szCs w:val="24"/>
        </w:rPr>
        <w:t>Kohlscheen</w:t>
      </w:r>
      <w:proofErr w:type="spellEnd"/>
      <w:r w:rsidRPr="002C2CAA">
        <w:rPr>
          <w:rFonts w:ascii="Times New Roman" w:hAnsi="Times New Roman" w:cs="Times New Roman"/>
          <w:sz w:val="24"/>
          <w:szCs w:val="24"/>
        </w:rPr>
        <w:t>, 2013). Credit becomes affordable, and the money supply in the economy is expanded. High supply of money in an economy increases the purchasing power and consequently increases inflation. One of the goals of economic policy is to reduce the level of inflation. However, the desire to increase the value of AUD leads to an increased level of inflation (</w:t>
      </w:r>
      <w:proofErr w:type="spellStart"/>
      <w:r w:rsidRPr="002C2CAA">
        <w:rPr>
          <w:rFonts w:ascii="Times New Roman" w:hAnsi="Times New Roman" w:cs="Times New Roman"/>
          <w:sz w:val="24"/>
          <w:szCs w:val="24"/>
        </w:rPr>
        <w:t>Gourinchas</w:t>
      </w:r>
      <w:proofErr w:type="spellEnd"/>
      <w:r w:rsidRPr="002C2CAA">
        <w:rPr>
          <w:rFonts w:ascii="Times New Roman" w:hAnsi="Times New Roman" w:cs="Times New Roman"/>
          <w:sz w:val="24"/>
          <w:szCs w:val="24"/>
        </w:rPr>
        <w:t xml:space="preserve"> and </w:t>
      </w:r>
      <w:proofErr w:type="spellStart"/>
      <w:r w:rsidRPr="002C2CAA">
        <w:rPr>
          <w:rFonts w:ascii="Times New Roman" w:hAnsi="Times New Roman" w:cs="Times New Roman"/>
          <w:sz w:val="24"/>
          <w:szCs w:val="24"/>
        </w:rPr>
        <w:t>Rabanal</w:t>
      </w:r>
      <w:proofErr w:type="spellEnd"/>
      <w:r w:rsidRPr="002C2CAA">
        <w:rPr>
          <w:rFonts w:ascii="Times New Roman" w:hAnsi="Times New Roman" w:cs="Times New Roman"/>
          <w:sz w:val="24"/>
          <w:szCs w:val="24"/>
        </w:rPr>
        <w:t>, 2017)</w:t>
      </w:r>
    </w:p>
    <w:p w:rsidR="00BC43A8" w:rsidRPr="00BC43A8" w:rsidRDefault="00BC43A8" w:rsidP="00BC43A8">
      <w:pPr>
        <w:rPr>
          <w:rFonts w:ascii="Times New Roman" w:hAnsi="Times New Roman" w:cs="Times New Roman"/>
          <w:sz w:val="24"/>
          <w:szCs w:val="24"/>
        </w:rPr>
      </w:pPr>
    </w:p>
    <w:p w:rsidR="00BC43A8" w:rsidRPr="00BC43A8" w:rsidRDefault="00BC43A8" w:rsidP="00BC43A8">
      <w:pPr>
        <w:rPr>
          <w:rFonts w:ascii="Times New Roman" w:hAnsi="Times New Roman" w:cs="Times New Roman"/>
          <w:sz w:val="24"/>
          <w:szCs w:val="24"/>
        </w:rPr>
      </w:pPr>
    </w:p>
    <w:p w:rsidR="00BC43A8" w:rsidRPr="00BC43A8" w:rsidRDefault="00BC43A8" w:rsidP="00BC43A8">
      <w:pPr>
        <w:rPr>
          <w:rFonts w:ascii="Times New Roman" w:hAnsi="Times New Roman" w:cs="Times New Roman"/>
          <w:sz w:val="24"/>
          <w:szCs w:val="24"/>
        </w:rPr>
      </w:pPr>
    </w:p>
    <w:p w:rsidR="00BC43A8" w:rsidRDefault="00BC43A8" w:rsidP="00BC43A8">
      <w:pPr>
        <w:rPr>
          <w:rFonts w:ascii="Times New Roman" w:hAnsi="Times New Roman" w:cs="Times New Roman"/>
          <w:sz w:val="24"/>
          <w:szCs w:val="24"/>
        </w:rPr>
      </w:pPr>
    </w:p>
    <w:p w:rsidR="00652FF1" w:rsidRDefault="00652FF1" w:rsidP="00BC43A8">
      <w:pPr>
        <w:rPr>
          <w:rFonts w:ascii="Times New Roman" w:hAnsi="Times New Roman" w:cs="Times New Roman"/>
          <w:sz w:val="24"/>
          <w:szCs w:val="24"/>
        </w:rPr>
      </w:pPr>
    </w:p>
    <w:p w:rsidR="00BC43A8" w:rsidRDefault="00BC43A8" w:rsidP="00BC43A8">
      <w:pPr>
        <w:rPr>
          <w:rFonts w:ascii="Times New Roman" w:hAnsi="Times New Roman" w:cs="Times New Roman"/>
          <w:sz w:val="24"/>
          <w:szCs w:val="24"/>
        </w:rPr>
      </w:pPr>
    </w:p>
    <w:p w:rsidR="00BC43A8" w:rsidRDefault="00BC43A8" w:rsidP="00BC43A8">
      <w:pPr>
        <w:rPr>
          <w:rFonts w:ascii="Times New Roman" w:hAnsi="Times New Roman" w:cs="Times New Roman"/>
          <w:sz w:val="24"/>
          <w:szCs w:val="24"/>
        </w:rPr>
      </w:pPr>
    </w:p>
    <w:p w:rsidR="00BC43A8" w:rsidRDefault="00BC43A8" w:rsidP="00BC43A8">
      <w:pPr>
        <w:rPr>
          <w:rFonts w:ascii="Times New Roman" w:hAnsi="Times New Roman" w:cs="Times New Roman"/>
          <w:sz w:val="24"/>
          <w:szCs w:val="24"/>
        </w:rPr>
      </w:pPr>
    </w:p>
    <w:p w:rsidR="00BC43A8" w:rsidRDefault="00BC43A8" w:rsidP="00BC43A8">
      <w:pPr>
        <w:rPr>
          <w:rFonts w:ascii="Times New Roman" w:hAnsi="Times New Roman" w:cs="Times New Roman"/>
          <w:sz w:val="24"/>
          <w:szCs w:val="24"/>
        </w:rPr>
      </w:pPr>
    </w:p>
    <w:p w:rsidR="00BC43A8" w:rsidRDefault="00BC43A8" w:rsidP="00BC43A8">
      <w:pPr>
        <w:rPr>
          <w:rFonts w:ascii="Times New Roman" w:hAnsi="Times New Roman" w:cs="Times New Roman"/>
          <w:sz w:val="24"/>
          <w:szCs w:val="24"/>
        </w:rPr>
      </w:pPr>
    </w:p>
    <w:p w:rsidR="00BC43A8" w:rsidRPr="00BC43A8" w:rsidRDefault="00BC43A8" w:rsidP="00BC43A8">
      <w:pPr>
        <w:pStyle w:val="ListParagraph"/>
        <w:spacing w:line="480" w:lineRule="auto"/>
        <w:jc w:val="center"/>
        <w:rPr>
          <w:rFonts w:ascii="Times New Roman" w:hAnsi="Times New Roman" w:cs="Times New Roman"/>
          <w:b/>
          <w:sz w:val="24"/>
          <w:szCs w:val="24"/>
        </w:rPr>
      </w:pPr>
      <w:r w:rsidRPr="00BC43A8">
        <w:rPr>
          <w:rFonts w:ascii="Times New Roman" w:hAnsi="Times New Roman" w:cs="Times New Roman"/>
          <w:b/>
          <w:sz w:val="24"/>
          <w:szCs w:val="24"/>
        </w:rPr>
        <w:lastRenderedPageBreak/>
        <w:t>References</w:t>
      </w:r>
    </w:p>
    <w:p w:rsidR="00BC43A8" w:rsidRPr="00854200" w:rsidRDefault="00BC43A8" w:rsidP="00854200">
      <w:pPr>
        <w:spacing w:line="480" w:lineRule="auto"/>
        <w:rPr>
          <w:rStyle w:val="selectable"/>
          <w:rFonts w:ascii="Times New Roman" w:hAnsi="Times New Roman" w:cs="Times New Roman"/>
          <w:sz w:val="24"/>
          <w:szCs w:val="24"/>
        </w:rPr>
      </w:pPr>
      <w:proofErr w:type="spellStart"/>
      <w:proofErr w:type="gramStart"/>
      <w:r w:rsidRPr="00854200">
        <w:rPr>
          <w:rStyle w:val="selectable"/>
          <w:rFonts w:ascii="Times New Roman" w:hAnsi="Times New Roman" w:cs="Times New Roman"/>
          <w:sz w:val="24"/>
          <w:szCs w:val="24"/>
        </w:rPr>
        <w:t>Atif</w:t>
      </w:r>
      <w:proofErr w:type="spellEnd"/>
      <w:r w:rsidRPr="00854200">
        <w:rPr>
          <w:rStyle w:val="selectable"/>
          <w:rFonts w:ascii="Times New Roman" w:hAnsi="Times New Roman" w:cs="Times New Roman"/>
          <w:sz w:val="24"/>
          <w:szCs w:val="24"/>
        </w:rPr>
        <w:t xml:space="preserve">, S., </w:t>
      </w:r>
      <w:proofErr w:type="spellStart"/>
      <w:r w:rsidRPr="00854200">
        <w:rPr>
          <w:rStyle w:val="selectable"/>
          <w:rFonts w:ascii="Times New Roman" w:hAnsi="Times New Roman" w:cs="Times New Roman"/>
          <w:sz w:val="24"/>
          <w:szCs w:val="24"/>
        </w:rPr>
        <w:t>Sauytbekova</w:t>
      </w:r>
      <w:proofErr w:type="spellEnd"/>
      <w:r w:rsidRPr="00854200">
        <w:rPr>
          <w:rStyle w:val="selectable"/>
          <w:rFonts w:ascii="Times New Roman" w:hAnsi="Times New Roman" w:cs="Times New Roman"/>
          <w:sz w:val="24"/>
          <w:szCs w:val="24"/>
        </w:rPr>
        <w:t>, M. and Macdonald, J. (2012).</w:t>
      </w:r>
      <w:proofErr w:type="gramEnd"/>
      <w:r w:rsidRPr="00854200">
        <w:rPr>
          <w:rStyle w:val="selectable"/>
          <w:rFonts w:ascii="Times New Roman" w:hAnsi="Times New Roman" w:cs="Times New Roman"/>
          <w:sz w:val="24"/>
          <w:szCs w:val="24"/>
        </w:rPr>
        <w:t xml:space="preserve"> </w:t>
      </w:r>
      <w:r w:rsidRPr="00854200">
        <w:rPr>
          <w:rStyle w:val="selectable"/>
          <w:rFonts w:ascii="Times New Roman" w:hAnsi="Times New Roman" w:cs="Times New Roman"/>
          <w:i/>
          <w:iCs/>
          <w:sz w:val="24"/>
          <w:szCs w:val="24"/>
        </w:rPr>
        <w:t>The determinants of Australian</w:t>
      </w:r>
      <w:r w:rsidRPr="00854200">
        <w:rPr>
          <w:rStyle w:val="selectable"/>
          <w:rFonts w:ascii="Times New Roman" w:hAnsi="Times New Roman" w:cs="Times New Roman"/>
          <w:i/>
          <w:iCs/>
          <w:sz w:val="24"/>
          <w:szCs w:val="24"/>
        </w:rPr>
        <w:tab/>
        <w:t>exchange rate: a time series analysis</w:t>
      </w:r>
      <w:r w:rsidRPr="00854200">
        <w:rPr>
          <w:rStyle w:val="selectable"/>
          <w:rFonts w:ascii="Times New Roman" w:hAnsi="Times New Roman" w:cs="Times New Roman"/>
          <w:sz w:val="24"/>
          <w:szCs w:val="24"/>
        </w:rPr>
        <w:t>. [</w:t>
      </w:r>
      <w:proofErr w:type="gramStart"/>
      <w:r w:rsidRPr="00854200">
        <w:rPr>
          <w:rStyle w:val="selectable"/>
          <w:rFonts w:ascii="Times New Roman" w:hAnsi="Times New Roman" w:cs="Times New Roman"/>
          <w:sz w:val="24"/>
          <w:szCs w:val="24"/>
        </w:rPr>
        <w:t>online</w:t>
      </w:r>
      <w:proofErr w:type="gramEnd"/>
      <w:r w:rsidRPr="00854200">
        <w:rPr>
          <w:rStyle w:val="selectable"/>
          <w:rFonts w:ascii="Times New Roman" w:hAnsi="Times New Roman" w:cs="Times New Roman"/>
          <w:sz w:val="24"/>
          <w:szCs w:val="24"/>
        </w:rPr>
        <w:t xml:space="preserve">] </w:t>
      </w:r>
      <w:proofErr w:type="gramStart"/>
      <w:r w:rsidRPr="00854200">
        <w:rPr>
          <w:rStyle w:val="selectable"/>
          <w:rFonts w:ascii="Times New Roman" w:hAnsi="Times New Roman" w:cs="Times New Roman"/>
          <w:sz w:val="24"/>
          <w:szCs w:val="24"/>
        </w:rPr>
        <w:t>University of Sydney.</w:t>
      </w:r>
      <w:proofErr w:type="gramEnd"/>
      <w:r w:rsidRPr="00854200">
        <w:rPr>
          <w:rStyle w:val="selectable"/>
          <w:rFonts w:ascii="Times New Roman" w:hAnsi="Times New Roman" w:cs="Times New Roman"/>
          <w:sz w:val="24"/>
          <w:szCs w:val="24"/>
        </w:rPr>
        <w:t xml:space="preserve"> Available at:</w:t>
      </w:r>
      <w:r w:rsidRPr="00854200">
        <w:rPr>
          <w:rStyle w:val="selectable"/>
          <w:rFonts w:ascii="Times New Roman" w:hAnsi="Times New Roman" w:cs="Times New Roman"/>
          <w:sz w:val="24"/>
          <w:szCs w:val="24"/>
        </w:rPr>
        <w:tab/>
      </w:r>
      <w:hyperlink r:id="rId8" w:history="1">
        <w:r w:rsidRPr="00854200">
          <w:rPr>
            <w:rStyle w:val="Hyperlink"/>
            <w:rFonts w:ascii="Times New Roman" w:hAnsi="Times New Roman" w:cs="Times New Roman"/>
            <w:sz w:val="24"/>
            <w:szCs w:val="24"/>
          </w:rPr>
          <w:t>https://mpra.ub.uni</w:t>
        </w:r>
      </w:hyperlink>
      <w:r w:rsidRPr="00854200">
        <w:rPr>
          <w:rStyle w:val="selectable"/>
          <w:rFonts w:ascii="Times New Roman" w:hAnsi="Times New Roman" w:cs="Times New Roman"/>
          <w:sz w:val="24"/>
          <w:szCs w:val="24"/>
        </w:rPr>
        <w:tab/>
        <w:t>muenchen.de/42309/1/the_determinants_of_australian_exchange_rate.pdf</w:t>
      </w:r>
      <w:r w:rsidRPr="00854200">
        <w:rPr>
          <w:rStyle w:val="selectable"/>
          <w:rFonts w:ascii="Times New Roman" w:hAnsi="Times New Roman" w:cs="Times New Roman"/>
          <w:sz w:val="24"/>
          <w:szCs w:val="24"/>
        </w:rPr>
        <w:tab/>
      </w:r>
      <w:r w:rsidR="00854200">
        <w:rPr>
          <w:rStyle w:val="selectable"/>
          <w:rFonts w:ascii="Times New Roman" w:hAnsi="Times New Roman" w:cs="Times New Roman"/>
          <w:sz w:val="24"/>
          <w:szCs w:val="24"/>
        </w:rPr>
        <w:t>[Accessed 7</w:t>
      </w:r>
      <w:r w:rsidR="00854200">
        <w:rPr>
          <w:rStyle w:val="selectable"/>
          <w:rFonts w:ascii="Times New Roman" w:hAnsi="Times New Roman" w:cs="Times New Roman"/>
          <w:sz w:val="24"/>
          <w:szCs w:val="24"/>
        </w:rPr>
        <w:tab/>
      </w:r>
      <w:r w:rsidRPr="00854200">
        <w:rPr>
          <w:rStyle w:val="selectable"/>
          <w:rFonts w:ascii="Times New Roman" w:hAnsi="Times New Roman" w:cs="Times New Roman"/>
          <w:sz w:val="24"/>
          <w:szCs w:val="24"/>
        </w:rPr>
        <w:t>Oct. 2017].</w:t>
      </w:r>
    </w:p>
    <w:p w:rsidR="00BC43A8" w:rsidRPr="00854200" w:rsidRDefault="00BC43A8" w:rsidP="00854200">
      <w:pPr>
        <w:spacing w:line="480" w:lineRule="auto"/>
        <w:rPr>
          <w:rFonts w:ascii="Times New Roman" w:hAnsi="Times New Roman" w:cs="Times New Roman"/>
          <w:sz w:val="24"/>
          <w:szCs w:val="24"/>
        </w:rPr>
      </w:pPr>
      <w:proofErr w:type="spellStart"/>
      <w:proofErr w:type="gramStart"/>
      <w:r w:rsidRPr="00854200">
        <w:rPr>
          <w:rFonts w:ascii="Times New Roman" w:hAnsi="Times New Roman" w:cs="Times New Roman"/>
          <w:sz w:val="24"/>
          <w:szCs w:val="24"/>
        </w:rPr>
        <w:t>Bahmani-Oskooee</w:t>
      </w:r>
      <w:proofErr w:type="spellEnd"/>
      <w:r w:rsidRPr="00854200">
        <w:rPr>
          <w:rFonts w:ascii="Times New Roman" w:hAnsi="Times New Roman" w:cs="Times New Roman"/>
          <w:sz w:val="24"/>
          <w:szCs w:val="24"/>
        </w:rPr>
        <w:t xml:space="preserve">, M. and R. </w:t>
      </w:r>
      <w:proofErr w:type="spellStart"/>
      <w:r w:rsidRPr="00854200">
        <w:rPr>
          <w:rFonts w:ascii="Times New Roman" w:hAnsi="Times New Roman" w:cs="Times New Roman"/>
          <w:sz w:val="24"/>
          <w:szCs w:val="24"/>
        </w:rPr>
        <w:t>Mitra</w:t>
      </w:r>
      <w:proofErr w:type="spellEnd"/>
      <w:r w:rsidRPr="00854200">
        <w:rPr>
          <w:rFonts w:ascii="Times New Roman" w:hAnsi="Times New Roman" w:cs="Times New Roman"/>
          <w:sz w:val="24"/>
          <w:szCs w:val="24"/>
        </w:rPr>
        <w:t>, 2009.</w:t>
      </w:r>
      <w:proofErr w:type="gramEnd"/>
      <w:r w:rsidRPr="00854200">
        <w:rPr>
          <w:rFonts w:ascii="Times New Roman" w:hAnsi="Times New Roman" w:cs="Times New Roman"/>
          <w:sz w:val="24"/>
          <w:szCs w:val="24"/>
        </w:rPr>
        <w:t xml:space="preserve"> The J-curve at the ind</w:t>
      </w:r>
      <w:r w:rsidR="00854200">
        <w:rPr>
          <w:rFonts w:ascii="Times New Roman" w:hAnsi="Times New Roman" w:cs="Times New Roman"/>
          <w:sz w:val="24"/>
          <w:szCs w:val="24"/>
        </w:rPr>
        <w:t>ustry level: Evidence from U.S.</w:t>
      </w:r>
      <w:r w:rsidR="00854200">
        <w:rPr>
          <w:rFonts w:ascii="Times New Roman" w:hAnsi="Times New Roman" w:cs="Times New Roman"/>
          <w:sz w:val="24"/>
          <w:szCs w:val="24"/>
        </w:rPr>
        <w:tab/>
      </w:r>
      <w:r w:rsidRPr="00854200">
        <w:rPr>
          <w:rFonts w:ascii="Times New Roman" w:hAnsi="Times New Roman" w:cs="Times New Roman"/>
          <w:sz w:val="24"/>
          <w:szCs w:val="24"/>
        </w:rPr>
        <w:t xml:space="preserve">India trade. Economics Bulletin, 29(2): 1520-1529. </w:t>
      </w:r>
    </w:p>
    <w:p w:rsidR="00BC43A8" w:rsidRPr="00854200" w:rsidRDefault="00BC43A8" w:rsidP="00854200">
      <w:pPr>
        <w:spacing w:line="480" w:lineRule="auto"/>
        <w:rPr>
          <w:rFonts w:ascii="Times New Roman" w:hAnsi="Times New Roman" w:cs="Times New Roman"/>
          <w:sz w:val="24"/>
          <w:szCs w:val="24"/>
        </w:rPr>
      </w:pPr>
      <w:proofErr w:type="gramStart"/>
      <w:r w:rsidRPr="00854200">
        <w:rPr>
          <w:rStyle w:val="selectable"/>
          <w:rFonts w:ascii="Times New Roman" w:hAnsi="Times New Roman" w:cs="Times New Roman"/>
          <w:sz w:val="24"/>
          <w:szCs w:val="24"/>
        </w:rPr>
        <w:t>Blundell-</w:t>
      </w:r>
      <w:proofErr w:type="spellStart"/>
      <w:r w:rsidRPr="00854200">
        <w:rPr>
          <w:rStyle w:val="selectable"/>
          <w:rFonts w:ascii="Times New Roman" w:hAnsi="Times New Roman" w:cs="Times New Roman"/>
          <w:sz w:val="24"/>
          <w:szCs w:val="24"/>
        </w:rPr>
        <w:t>Wignall</w:t>
      </w:r>
      <w:proofErr w:type="spellEnd"/>
      <w:r w:rsidRPr="00854200">
        <w:rPr>
          <w:rStyle w:val="selectable"/>
          <w:rFonts w:ascii="Times New Roman" w:hAnsi="Times New Roman" w:cs="Times New Roman"/>
          <w:sz w:val="24"/>
          <w:szCs w:val="24"/>
        </w:rPr>
        <w:t xml:space="preserve">, A., </w:t>
      </w:r>
      <w:proofErr w:type="spellStart"/>
      <w:r w:rsidRPr="00854200">
        <w:rPr>
          <w:rStyle w:val="selectable"/>
          <w:rFonts w:ascii="Times New Roman" w:hAnsi="Times New Roman" w:cs="Times New Roman"/>
          <w:sz w:val="24"/>
          <w:szCs w:val="24"/>
        </w:rPr>
        <w:t>Fahrer</w:t>
      </w:r>
      <w:proofErr w:type="spellEnd"/>
      <w:r w:rsidRPr="00854200">
        <w:rPr>
          <w:rStyle w:val="selectable"/>
          <w:rFonts w:ascii="Times New Roman" w:hAnsi="Times New Roman" w:cs="Times New Roman"/>
          <w:sz w:val="24"/>
          <w:szCs w:val="24"/>
        </w:rPr>
        <w:t>, J. and Heath, A. (2017).</w:t>
      </w:r>
      <w:proofErr w:type="gramEnd"/>
      <w:r w:rsidRPr="00854200">
        <w:rPr>
          <w:rStyle w:val="selectable"/>
          <w:rFonts w:ascii="Times New Roman" w:hAnsi="Times New Roman" w:cs="Times New Roman"/>
          <w:sz w:val="24"/>
          <w:szCs w:val="24"/>
        </w:rPr>
        <w:t xml:space="preserve"> </w:t>
      </w:r>
      <w:proofErr w:type="gramStart"/>
      <w:r w:rsidRPr="00854200">
        <w:rPr>
          <w:rStyle w:val="selectable"/>
          <w:rFonts w:ascii="Times New Roman" w:hAnsi="Times New Roman" w:cs="Times New Roman"/>
          <w:i/>
          <w:iCs/>
          <w:sz w:val="24"/>
          <w:szCs w:val="24"/>
        </w:rPr>
        <w:t>Major Influences on the Australian</w:t>
      </w:r>
      <w:r w:rsidR="00854200">
        <w:rPr>
          <w:rStyle w:val="selectable"/>
          <w:rFonts w:ascii="Times New Roman" w:hAnsi="Times New Roman" w:cs="Times New Roman"/>
          <w:i/>
          <w:iCs/>
          <w:sz w:val="24"/>
          <w:szCs w:val="24"/>
        </w:rPr>
        <w:t xml:space="preserve"> Dollar</w:t>
      </w:r>
      <w:r w:rsidR="00854200">
        <w:rPr>
          <w:rStyle w:val="selectable"/>
          <w:rFonts w:ascii="Times New Roman" w:hAnsi="Times New Roman" w:cs="Times New Roman"/>
          <w:i/>
          <w:iCs/>
          <w:sz w:val="24"/>
          <w:szCs w:val="24"/>
        </w:rPr>
        <w:tab/>
      </w:r>
      <w:r w:rsidRPr="00854200">
        <w:rPr>
          <w:rStyle w:val="selectable"/>
          <w:rFonts w:ascii="Times New Roman" w:hAnsi="Times New Roman" w:cs="Times New Roman"/>
          <w:i/>
          <w:iCs/>
          <w:sz w:val="24"/>
          <w:szCs w:val="24"/>
        </w:rPr>
        <w:t>Exchange Rate</w:t>
      </w:r>
      <w:r w:rsidR="00854200">
        <w:rPr>
          <w:rStyle w:val="selectable"/>
          <w:rFonts w:ascii="Times New Roman" w:hAnsi="Times New Roman" w:cs="Times New Roman"/>
          <w:sz w:val="24"/>
          <w:szCs w:val="24"/>
        </w:rPr>
        <w:t>.</w:t>
      </w:r>
      <w:proofErr w:type="gramEnd"/>
      <w:r w:rsidR="00854200">
        <w:rPr>
          <w:rStyle w:val="selectable"/>
          <w:rFonts w:ascii="Times New Roman" w:hAnsi="Times New Roman" w:cs="Times New Roman"/>
          <w:sz w:val="24"/>
          <w:szCs w:val="24"/>
        </w:rPr>
        <w:t xml:space="preserve"> [</w:t>
      </w:r>
      <w:proofErr w:type="gramStart"/>
      <w:r w:rsidR="00854200">
        <w:rPr>
          <w:rStyle w:val="selectable"/>
          <w:rFonts w:ascii="Times New Roman" w:hAnsi="Times New Roman" w:cs="Times New Roman"/>
          <w:sz w:val="24"/>
          <w:szCs w:val="24"/>
        </w:rPr>
        <w:t>online</w:t>
      </w:r>
      <w:proofErr w:type="gramEnd"/>
      <w:r w:rsidR="00854200">
        <w:rPr>
          <w:rStyle w:val="selectable"/>
          <w:rFonts w:ascii="Times New Roman" w:hAnsi="Times New Roman" w:cs="Times New Roman"/>
          <w:sz w:val="24"/>
          <w:szCs w:val="24"/>
        </w:rPr>
        <w:t>] Available at:</w:t>
      </w:r>
      <w:r w:rsidR="00854200">
        <w:rPr>
          <w:rStyle w:val="selectable"/>
          <w:rFonts w:ascii="Times New Roman" w:hAnsi="Times New Roman" w:cs="Times New Roman"/>
          <w:sz w:val="24"/>
          <w:szCs w:val="24"/>
        </w:rPr>
        <w:tab/>
      </w:r>
      <w:hyperlink r:id="rId9" w:history="1">
        <w:r w:rsidR="00854200" w:rsidRPr="00175513">
          <w:rPr>
            <w:rStyle w:val="Hyperlink"/>
            <w:rFonts w:ascii="Times New Roman" w:hAnsi="Times New Roman" w:cs="Times New Roman"/>
            <w:sz w:val="24"/>
            <w:szCs w:val="24"/>
          </w:rPr>
          <w:t>https://www.rba.gov.au/publications/confs/1993/pdf/blundell-wignall-fahrer-heath.pdf</w:t>
        </w:r>
      </w:hyperlink>
      <w:r w:rsidR="00854200">
        <w:rPr>
          <w:rStyle w:val="selectable"/>
          <w:rFonts w:ascii="Times New Roman" w:hAnsi="Times New Roman" w:cs="Times New Roman"/>
          <w:sz w:val="24"/>
          <w:szCs w:val="24"/>
        </w:rPr>
        <w:tab/>
      </w:r>
      <w:r w:rsidRPr="00854200">
        <w:rPr>
          <w:rStyle w:val="selectable"/>
          <w:rFonts w:ascii="Times New Roman" w:hAnsi="Times New Roman" w:cs="Times New Roman"/>
          <w:sz w:val="24"/>
          <w:szCs w:val="24"/>
        </w:rPr>
        <w:t>[Accessed 7 Oct. 2017].</w:t>
      </w:r>
    </w:p>
    <w:p w:rsidR="00BC43A8" w:rsidRPr="00854200" w:rsidRDefault="00BC43A8" w:rsidP="00854200">
      <w:pPr>
        <w:spacing w:line="480" w:lineRule="auto"/>
        <w:rPr>
          <w:rStyle w:val="selectable"/>
          <w:rFonts w:ascii="Times New Roman" w:hAnsi="Times New Roman" w:cs="Times New Roman"/>
          <w:sz w:val="24"/>
          <w:szCs w:val="24"/>
        </w:rPr>
      </w:pPr>
      <w:r w:rsidRPr="00854200">
        <w:rPr>
          <w:rFonts w:ascii="Times New Roman" w:hAnsi="Times New Roman" w:cs="Times New Roman"/>
          <w:sz w:val="24"/>
          <w:szCs w:val="24"/>
        </w:rPr>
        <w:t xml:space="preserve">Chin, L. </w:t>
      </w:r>
      <w:proofErr w:type="spellStart"/>
      <w:r w:rsidRPr="00854200">
        <w:rPr>
          <w:rFonts w:ascii="Times New Roman" w:hAnsi="Times New Roman" w:cs="Times New Roman"/>
          <w:sz w:val="24"/>
          <w:szCs w:val="24"/>
        </w:rPr>
        <w:t>Azalia</w:t>
      </w:r>
      <w:proofErr w:type="spellEnd"/>
      <w:r w:rsidRPr="00854200">
        <w:rPr>
          <w:rFonts w:ascii="Times New Roman" w:hAnsi="Times New Roman" w:cs="Times New Roman"/>
          <w:sz w:val="24"/>
          <w:szCs w:val="24"/>
        </w:rPr>
        <w:t xml:space="preserve">, M, and Matthews, K. G. (2007). </w:t>
      </w:r>
      <w:proofErr w:type="gramStart"/>
      <w:r w:rsidRPr="00854200">
        <w:rPr>
          <w:rFonts w:ascii="Times New Roman" w:hAnsi="Times New Roman" w:cs="Times New Roman"/>
          <w:sz w:val="24"/>
          <w:szCs w:val="24"/>
        </w:rPr>
        <w:t>The monetary approach to exchange r</w:t>
      </w:r>
      <w:r w:rsidR="00854200">
        <w:rPr>
          <w:rFonts w:ascii="Times New Roman" w:hAnsi="Times New Roman" w:cs="Times New Roman"/>
          <w:sz w:val="24"/>
          <w:szCs w:val="24"/>
        </w:rPr>
        <w:t>ate</w:t>
      </w:r>
      <w:r w:rsidR="00854200">
        <w:rPr>
          <w:rFonts w:ascii="Times New Roman" w:hAnsi="Times New Roman" w:cs="Times New Roman"/>
          <w:sz w:val="24"/>
          <w:szCs w:val="24"/>
        </w:rPr>
        <w:tab/>
      </w:r>
      <w:r w:rsidRPr="00854200">
        <w:rPr>
          <w:rFonts w:ascii="Times New Roman" w:hAnsi="Times New Roman" w:cs="Times New Roman"/>
          <w:sz w:val="24"/>
          <w:szCs w:val="24"/>
        </w:rPr>
        <w:t>determination for Malaysia.</w:t>
      </w:r>
      <w:proofErr w:type="gramEnd"/>
      <w:r w:rsidRPr="00854200">
        <w:rPr>
          <w:rFonts w:ascii="Times New Roman" w:hAnsi="Times New Roman" w:cs="Times New Roman"/>
          <w:sz w:val="24"/>
          <w:szCs w:val="24"/>
        </w:rPr>
        <w:t xml:space="preserve"> </w:t>
      </w:r>
      <w:r w:rsidRPr="00854200">
        <w:rPr>
          <w:rFonts w:ascii="Times New Roman" w:hAnsi="Times New Roman" w:cs="Times New Roman"/>
          <w:i/>
          <w:sz w:val="24"/>
          <w:szCs w:val="24"/>
        </w:rPr>
        <w:t>Applied Financial Economics Letters</w:t>
      </w:r>
      <w:r w:rsidRPr="00854200">
        <w:rPr>
          <w:rFonts w:ascii="Times New Roman" w:hAnsi="Times New Roman" w:cs="Times New Roman"/>
          <w:sz w:val="24"/>
          <w:szCs w:val="24"/>
        </w:rPr>
        <w:t>, 3, pp.91–94</w:t>
      </w:r>
    </w:p>
    <w:p w:rsidR="00BC43A8" w:rsidRPr="00854200" w:rsidRDefault="00BC43A8" w:rsidP="00854200">
      <w:pPr>
        <w:spacing w:line="480" w:lineRule="auto"/>
        <w:rPr>
          <w:rStyle w:val="selectable"/>
          <w:rFonts w:ascii="Times New Roman" w:hAnsi="Times New Roman" w:cs="Times New Roman"/>
          <w:sz w:val="24"/>
          <w:szCs w:val="24"/>
        </w:rPr>
      </w:pPr>
      <w:proofErr w:type="spellStart"/>
      <w:proofErr w:type="gramStart"/>
      <w:r w:rsidRPr="00854200">
        <w:rPr>
          <w:rStyle w:val="selectable"/>
          <w:rFonts w:ascii="Times New Roman" w:hAnsi="Times New Roman" w:cs="Times New Roman"/>
          <w:sz w:val="24"/>
          <w:szCs w:val="24"/>
        </w:rPr>
        <w:t>Gourinchas</w:t>
      </w:r>
      <w:proofErr w:type="spellEnd"/>
      <w:r w:rsidRPr="00854200">
        <w:rPr>
          <w:rStyle w:val="selectable"/>
          <w:rFonts w:ascii="Times New Roman" w:hAnsi="Times New Roman" w:cs="Times New Roman"/>
          <w:sz w:val="24"/>
          <w:szCs w:val="24"/>
        </w:rPr>
        <w:t xml:space="preserve">, P. and </w:t>
      </w:r>
      <w:proofErr w:type="spellStart"/>
      <w:r w:rsidRPr="00854200">
        <w:rPr>
          <w:rStyle w:val="selectable"/>
          <w:rFonts w:ascii="Times New Roman" w:hAnsi="Times New Roman" w:cs="Times New Roman"/>
          <w:sz w:val="24"/>
          <w:szCs w:val="24"/>
        </w:rPr>
        <w:t>Rabanal</w:t>
      </w:r>
      <w:proofErr w:type="spellEnd"/>
      <w:r w:rsidRPr="00854200">
        <w:rPr>
          <w:rStyle w:val="selectable"/>
          <w:rFonts w:ascii="Times New Roman" w:hAnsi="Times New Roman" w:cs="Times New Roman"/>
          <w:sz w:val="24"/>
          <w:szCs w:val="24"/>
        </w:rPr>
        <w:t>, P. (2017).</w:t>
      </w:r>
      <w:proofErr w:type="gramEnd"/>
      <w:r w:rsidRPr="00854200">
        <w:rPr>
          <w:rStyle w:val="selectable"/>
          <w:rFonts w:ascii="Times New Roman" w:hAnsi="Times New Roman" w:cs="Times New Roman"/>
          <w:sz w:val="24"/>
          <w:szCs w:val="24"/>
        </w:rPr>
        <w:t xml:space="preserve"> </w:t>
      </w:r>
      <w:proofErr w:type="gramStart"/>
      <w:r w:rsidRPr="00854200">
        <w:rPr>
          <w:rStyle w:val="selectable"/>
          <w:rFonts w:ascii="Times New Roman" w:hAnsi="Times New Roman" w:cs="Times New Roman"/>
          <w:sz w:val="24"/>
          <w:szCs w:val="24"/>
        </w:rPr>
        <w:t>Unconventional Monetary and Exchange Rate Policies.</w:t>
      </w:r>
      <w:proofErr w:type="gramEnd"/>
      <w:r w:rsidR="00854200">
        <w:rPr>
          <w:rStyle w:val="selectable"/>
          <w:rFonts w:ascii="Times New Roman" w:hAnsi="Times New Roman" w:cs="Times New Roman"/>
          <w:sz w:val="24"/>
          <w:szCs w:val="24"/>
        </w:rPr>
        <w:tab/>
      </w:r>
      <w:proofErr w:type="gramStart"/>
      <w:r w:rsidRPr="00854200">
        <w:rPr>
          <w:rStyle w:val="selectable"/>
          <w:rFonts w:ascii="Times New Roman" w:hAnsi="Times New Roman" w:cs="Times New Roman"/>
          <w:i/>
          <w:iCs/>
          <w:sz w:val="24"/>
          <w:szCs w:val="24"/>
        </w:rPr>
        <w:t>IMF Economic Review</w:t>
      </w:r>
      <w:r w:rsidRPr="00854200">
        <w:rPr>
          <w:rStyle w:val="selectable"/>
          <w:rFonts w:ascii="Times New Roman" w:hAnsi="Times New Roman" w:cs="Times New Roman"/>
          <w:sz w:val="24"/>
          <w:szCs w:val="24"/>
        </w:rPr>
        <w:t>, 65(1), pp.1-4.</w:t>
      </w:r>
      <w:proofErr w:type="gramEnd"/>
    </w:p>
    <w:p w:rsidR="00BC43A8" w:rsidRDefault="00BC43A8" w:rsidP="0057224E">
      <w:pPr>
        <w:spacing w:line="480" w:lineRule="auto"/>
        <w:rPr>
          <w:rStyle w:val="selectable"/>
          <w:rFonts w:ascii="Times New Roman" w:hAnsi="Times New Roman" w:cs="Times New Roman"/>
          <w:sz w:val="24"/>
          <w:szCs w:val="24"/>
        </w:rPr>
      </w:pPr>
      <w:proofErr w:type="spellStart"/>
      <w:proofErr w:type="gramStart"/>
      <w:r w:rsidRPr="00854200">
        <w:rPr>
          <w:rStyle w:val="selectable"/>
          <w:rFonts w:ascii="Times New Roman" w:hAnsi="Times New Roman" w:cs="Times New Roman"/>
          <w:sz w:val="24"/>
          <w:szCs w:val="24"/>
        </w:rPr>
        <w:t>Ghosh</w:t>
      </w:r>
      <w:proofErr w:type="spellEnd"/>
      <w:r w:rsidRPr="00854200">
        <w:rPr>
          <w:rStyle w:val="selectable"/>
          <w:rFonts w:ascii="Times New Roman" w:hAnsi="Times New Roman" w:cs="Times New Roman"/>
          <w:sz w:val="24"/>
          <w:szCs w:val="24"/>
        </w:rPr>
        <w:t xml:space="preserve">, A. and </w:t>
      </w:r>
      <w:proofErr w:type="spellStart"/>
      <w:r w:rsidRPr="00854200">
        <w:rPr>
          <w:rStyle w:val="selectable"/>
          <w:rFonts w:ascii="Times New Roman" w:hAnsi="Times New Roman" w:cs="Times New Roman"/>
          <w:sz w:val="24"/>
          <w:szCs w:val="24"/>
        </w:rPr>
        <w:t>Rajan</w:t>
      </w:r>
      <w:proofErr w:type="spellEnd"/>
      <w:r w:rsidRPr="00854200">
        <w:rPr>
          <w:rStyle w:val="selectable"/>
          <w:rFonts w:ascii="Times New Roman" w:hAnsi="Times New Roman" w:cs="Times New Roman"/>
          <w:sz w:val="24"/>
          <w:szCs w:val="24"/>
        </w:rPr>
        <w:t>, R. (2007).</w:t>
      </w:r>
      <w:proofErr w:type="gramEnd"/>
      <w:r w:rsidRPr="00854200">
        <w:rPr>
          <w:rStyle w:val="selectable"/>
          <w:rFonts w:ascii="Times New Roman" w:hAnsi="Times New Roman" w:cs="Times New Roman"/>
          <w:sz w:val="24"/>
          <w:szCs w:val="24"/>
        </w:rPr>
        <w:t xml:space="preserve"> </w:t>
      </w:r>
      <w:proofErr w:type="gramStart"/>
      <w:r w:rsidRPr="00854200">
        <w:rPr>
          <w:rStyle w:val="selectable"/>
          <w:rFonts w:ascii="Times New Roman" w:hAnsi="Times New Roman" w:cs="Times New Roman"/>
          <w:sz w:val="24"/>
          <w:szCs w:val="24"/>
        </w:rPr>
        <w:t>Macroeconomic Determinant</w:t>
      </w:r>
      <w:r w:rsidR="0057224E">
        <w:rPr>
          <w:rStyle w:val="selectable"/>
          <w:rFonts w:ascii="Times New Roman" w:hAnsi="Times New Roman" w:cs="Times New Roman"/>
          <w:sz w:val="24"/>
          <w:szCs w:val="24"/>
        </w:rPr>
        <w:t>s of Exchange Rate Pass-Through</w:t>
      </w:r>
      <w:r w:rsidR="0057224E">
        <w:rPr>
          <w:rStyle w:val="selectable"/>
          <w:rFonts w:ascii="Times New Roman" w:hAnsi="Times New Roman" w:cs="Times New Roman"/>
          <w:sz w:val="24"/>
          <w:szCs w:val="24"/>
        </w:rPr>
        <w:tab/>
      </w:r>
      <w:r w:rsidRPr="00854200">
        <w:rPr>
          <w:rStyle w:val="selectable"/>
          <w:rFonts w:ascii="Times New Roman" w:hAnsi="Times New Roman" w:cs="Times New Roman"/>
          <w:sz w:val="24"/>
          <w:szCs w:val="24"/>
        </w:rPr>
        <w:t>in India.</w:t>
      </w:r>
      <w:proofErr w:type="gramEnd"/>
      <w:r w:rsidRPr="00854200">
        <w:rPr>
          <w:rStyle w:val="selectable"/>
          <w:rFonts w:ascii="Times New Roman" w:hAnsi="Times New Roman" w:cs="Times New Roman"/>
          <w:sz w:val="24"/>
          <w:szCs w:val="24"/>
        </w:rPr>
        <w:t xml:space="preserve"> </w:t>
      </w:r>
      <w:proofErr w:type="gramStart"/>
      <w:r w:rsidRPr="00854200">
        <w:rPr>
          <w:rStyle w:val="selectable"/>
          <w:rFonts w:ascii="Times New Roman" w:hAnsi="Times New Roman" w:cs="Times New Roman"/>
          <w:i/>
          <w:iCs/>
          <w:sz w:val="24"/>
          <w:szCs w:val="24"/>
        </w:rPr>
        <w:t>SSRN Electronic Journal</w:t>
      </w:r>
      <w:r w:rsidRPr="00854200">
        <w:rPr>
          <w:rStyle w:val="selectable"/>
          <w:rFonts w:ascii="Times New Roman" w:hAnsi="Times New Roman" w:cs="Times New Roman"/>
          <w:sz w:val="24"/>
          <w:szCs w:val="24"/>
        </w:rPr>
        <w:t>.</w:t>
      </w:r>
      <w:proofErr w:type="gramEnd"/>
    </w:p>
    <w:p w:rsidR="0057224E" w:rsidRDefault="0057224E" w:rsidP="0057224E">
      <w:pPr>
        <w:spacing w:line="480" w:lineRule="auto"/>
        <w:rPr>
          <w:rStyle w:val="selectable"/>
          <w:rFonts w:ascii="Times New Roman" w:hAnsi="Times New Roman" w:cs="Times New Roman"/>
          <w:sz w:val="24"/>
          <w:szCs w:val="24"/>
        </w:rPr>
      </w:pPr>
      <w:proofErr w:type="spellStart"/>
      <w:r w:rsidRPr="0057224E">
        <w:rPr>
          <w:rStyle w:val="selectable"/>
          <w:rFonts w:ascii="Times New Roman" w:hAnsi="Times New Roman" w:cs="Times New Roman"/>
          <w:sz w:val="24"/>
          <w:szCs w:val="24"/>
        </w:rPr>
        <w:t>Hsing</w:t>
      </w:r>
      <w:proofErr w:type="spellEnd"/>
      <w:r w:rsidRPr="0057224E">
        <w:rPr>
          <w:rStyle w:val="selectable"/>
          <w:rFonts w:ascii="Times New Roman" w:hAnsi="Times New Roman" w:cs="Times New Roman"/>
          <w:sz w:val="24"/>
          <w:szCs w:val="24"/>
        </w:rPr>
        <w:t xml:space="preserve">, Y. (2015). </w:t>
      </w:r>
      <w:proofErr w:type="gramStart"/>
      <w:r w:rsidRPr="0057224E">
        <w:rPr>
          <w:rStyle w:val="selectable"/>
          <w:rFonts w:ascii="Times New Roman" w:hAnsi="Times New Roman" w:cs="Times New Roman"/>
          <w:sz w:val="24"/>
          <w:szCs w:val="24"/>
        </w:rPr>
        <w:t>Determinants of the AUD/USD Exchange Rate and Policy Implications.</w:t>
      </w:r>
      <w:proofErr w:type="gramEnd"/>
      <w:r w:rsidRPr="0057224E">
        <w:rPr>
          <w:rStyle w:val="selectable"/>
          <w:rFonts w:ascii="Times New Roman" w:hAnsi="Times New Roman" w:cs="Times New Roman"/>
          <w:sz w:val="24"/>
          <w:szCs w:val="24"/>
        </w:rPr>
        <w:t xml:space="preserve"> </w:t>
      </w:r>
      <w:proofErr w:type="gramStart"/>
      <w:r>
        <w:rPr>
          <w:rStyle w:val="selectable"/>
          <w:rFonts w:ascii="Times New Roman" w:hAnsi="Times New Roman" w:cs="Times New Roman"/>
          <w:i/>
          <w:iCs/>
          <w:sz w:val="24"/>
          <w:szCs w:val="24"/>
        </w:rPr>
        <w:t>Asian</w:t>
      </w:r>
      <w:r>
        <w:rPr>
          <w:rStyle w:val="selectable"/>
          <w:rFonts w:ascii="Times New Roman" w:hAnsi="Times New Roman" w:cs="Times New Roman"/>
          <w:i/>
          <w:iCs/>
          <w:sz w:val="24"/>
          <w:szCs w:val="24"/>
        </w:rPr>
        <w:tab/>
      </w:r>
      <w:r w:rsidRPr="0057224E">
        <w:rPr>
          <w:rStyle w:val="selectable"/>
          <w:rFonts w:ascii="Times New Roman" w:hAnsi="Times New Roman" w:cs="Times New Roman"/>
          <w:i/>
          <w:iCs/>
          <w:sz w:val="24"/>
          <w:szCs w:val="24"/>
        </w:rPr>
        <w:t>Economic and Financial Review</w:t>
      </w:r>
      <w:r w:rsidRPr="0057224E">
        <w:rPr>
          <w:rStyle w:val="selectable"/>
          <w:rFonts w:ascii="Times New Roman" w:hAnsi="Times New Roman" w:cs="Times New Roman"/>
          <w:sz w:val="24"/>
          <w:szCs w:val="24"/>
        </w:rPr>
        <w:t>, 5(2), pp.326-332.</w:t>
      </w:r>
      <w:proofErr w:type="gramEnd"/>
    </w:p>
    <w:p w:rsidR="00BC43A8" w:rsidRPr="0057224E" w:rsidRDefault="00BC43A8" w:rsidP="0057224E">
      <w:pPr>
        <w:spacing w:line="480" w:lineRule="auto"/>
        <w:rPr>
          <w:rStyle w:val="selectable"/>
          <w:rFonts w:ascii="Times New Roman" w:hAnsi="Times New Roman" w:cs="Times New Roman"/>
          <w:sz w:val="24"/>
          <w:szCs w:val="24"/>
        </w:rPr>
      </w:pPr>
      <w:proofErr w:type="spellStart"/>
      <w:r w:rsidRPr="0057224E">
        <w:rPr>
          <w:rStyle w:val="selectable"/>
          <w:rFonts w:ascii="Times New Roman" w:hAnsi="Times New Roman" w:cs="Times New Roman"/>
          <w:sz w:val="24"/>
          <w:szCs w:val="24"/>
        </w:rPr>
        <w:lastRenderedPageBreak/>
        <w:t>Kohlscheen</w:t>
      </w:r>
      <w:proofErr w:type="spellEnd"/>
      <w:r w:rsidRPr="0057224E">
        <w:rPr>
          <w:rStyle w:val="selectable"/>
          <w:rFonts w:ascii="Times New Roman" w:hAnsi="Times New Roman" w:cs="Times New Roman"/>
          <w:sz w:val="24"/>
          <w:szCs w:val="24"/>
        </w:rPr>
        <w:t>, E. (2013). The Impact of Monetary Poli</w:t>
      </w:r>
      <w:r w:rsidR="0057224E">
        <w:rPr>
          <w:rStyle w:val="selectable"/>
          <w:rFonts w:ascii="Times New Roman" w:hAnsi="Times New Roman" w:cs="Times New Roman"/>
          <w:sz w:val="24"/>
          <w:szCs w:val="24"/>
        </w:rPr>
        <w:t>cy on the Exchange Rate: A High</w:t>
      </w:r>
      <w:r w:rsidR="0057224E">
        <w:rPr>
          <w:rStyle w:val="selectable"/>
          <w:rFonts w:ascii="Times New Roman" w:hAnsi="Times New Roman" w:cs="Times New Roman"/>
          <w:sz w:val="24"/>
          <w:szCs w:val="24"/>
        </w:rPr>
        <w:tab/>
      </w:r>
      <w:r w:rsidRPr="0057224E">
        <w:rPr>
          <w:rStyle w:val="selectable"/>
          <w:rFonts w:ascii="Times New Roman" w:hAnsi="Times New Roman" w:cs="Times New Roman"/>
          <w:sz w:val="24"/>
          <w:szCs w:val="24"/>
        </w:rPr>
        <w:t xml:space="preserve">Frequency Exchange Rate Puzzle in Emerging Economies. </w:t>
      </w:r>
      <w:proofErr w:type="gramStart"/>
      <w:r w:rsidRPr="0057224E">
        <w:rPr>
          <w:rStyle w:val="selectable"/>
          <w:rFonts w:ascii="Times New Roman" w:hAnsi="Times New Roman" w:cs="Times New Roman"/>
          <w:i/>
          <w:iCs/>
          <w:sz w:val="24"/>
          <w:szCs w:val="24"/>
        </w:rPr>
        <w:t>SSRN Electronic Journal</w:t>
      </w:r>
      <w:r w:rsidRPr="0057224E">
        <w:rPr>
          <w:rStyle w:val="selectable"/>
          <w:rFonts w:ascii="Times New Roman" w:hAnsi="Times New Roman" w:cs="Times New Roman"/>
          <w:sz w:val="24"/>
          <w:szCs w:val="24"/>
        </w:rPr>
        <w:t>.</w:t>
      </w:r>
      <w:proofErr w:type="gramEnd"/>
    </w:p>
    <w:p w:rsidR="00BC43A8" w:rsidRPr="0057224E" w:rsidRDefault="00BC43A8" w:rsidP="0057224E">
      <w:pPr>
        <w:spacing w:line="480" w:lineRule="auto"/>
        <w:rPr>
          <w:rStyle w:val="selectable"/>
          <w:rFonts w:ascii="Times New Roman" w:hAnsi="Times New Roman" w:cs="Times New Roman"/>
          <w:sz w:val="24"/>
          <w:szCs w:val="24"/>
        </w:rPr>
      </w:pPr>
      <w:proofErr w:type="gramStart"/>
      <w:r w:rsidRPr="0057224E">
        <w:rPr>
          <w:rStyle w:val="selectable"/>
          <w:rFonts w:ascii="Times New Roman" w:hAnsi="Times New Roman" w:cs="Times New Roman"/>
          <w:sz w:val="24"/>
          <w:szCs w:val="24"/>
        </w:rPr>
        <w:t>Reserve Bank of Australia.</w:t>
      </w:r>
      <w:proofErr w:type="gramEnd"/>
      <w:r w:rsidRPr="0057224E">
        <w:rPr>
          <w:rStyle w:val="selectable"/>
          <w:rFonts w:ascii="Times New Roman" w:hAnsi="Times New Roman" w:cs="Times New Roman"/>
          <w:sz w:val="24"/>
          <w:szCs w:val="24"/>
        </w:rPr>
        <w:t xml:space="preserve"> </w:t>
      </w:r>
      <w:proofErr w:type="gramStart"/>
      <w:r w:rsidRPr="0057224E">
        <w:rPr>
          <w:rStyle w:val="selectable"/>
          <w:rFonts w:ascii="Times New Roman" w:hAnsi="Times New Roman" w:cs="Times New Roman"/>
          <w:sz w:val="24"/>
          <w:szCs w:val="24"/>
        </w:rPr>
        <w:t xml:space="preserve">(2017). </w:t>
      </w:r>
      <w:r w:rsidRPr="0057224E">
        <w:rPr>
          <w:rStyle w:val="selectable"/>
          <w:rFonts w:ascii="Times New Roman" w:hAnsi="Times New Roman" w:cs="Times New Roman"/>
          <w:i/>
          <w:iCs/>
          <w:sz w:val="24"/>
          <w:szCs w:val="24"/>
        </w:rPr>
        <w:t>Historical Data | RBA</w:t>
      </w:r>
      <w:r w:rsidR="0072743C">
        <w:rPr>
          <w:rStyle w:val="selectable"/>
          <w:rFonts w:ascii="Times New Roman" w:hAnsi="Times New Roman" w:cs="Times New Roman"/>
          <w:sz w:val="24"/>
          <w:szCs w:val="24"/>
        </w:rPr>
        <w:t>.</w:t>
      </w:r>
      <w:proofErr w:type="gramEnd"/>
      <w:r w:rsidR="0072743C">
        <w:rPr>
          <w:rStyle w:val="selectable"/>
          <w:rFonts w:ascii="Times New Roman" w:hAnsi="Times New Roman" w:cs="Times New Roman"/>
          <w:sz w:val="24"/>
          <w:szCs w:val="24"/>
        </w:rPr>
        <w:t xml:space="preserve"> [</w:t>
      </w:r>
      <w:proofErr w:type="gramStart"/>
      <w:r w:rsidR="0072743C">
        <w:rPr>
          <w:rStyle w:val="selectable"/>
          <w:rFonts w:ascii="Times New Roman" w:hAnsi="Times New Roman" w:cs="Times New Roman"/>
          <w:sz w:val="24"/>
          <w:szCs w:val="24"/>
        </w:rPr>
        <w:t>online</w:t>
      </w:r>
      <w:proofErr w:type="gramEnd"/>
      <w:r w:rsidR="0072743C">
        <w:rPr>
          <w:rStyle w:val="selectable"/>
          <w:rFonts w:ascii="Times New Roman" w:hAnsi="Times New Roman" w:cs="Times New Roman"/>
          <w:sz w:val="24"/>
          <w:szCs w:val="24"/>
        </w:rPr>
        <w:t>] Available at:</w:t>
      </w:r>
      <w:r w:rsidR="0072743C">
        <w:rPr>
          <w:rStyle w:val="selectable"/>
          <w:rFonts w:ascii="Times New Roman" w:hAnsi="Times New Roman" w:cs="Times New Roman"/>
          <w:sz w:val="24"/>
          <w:szCs w:val="24"/>
        </w:rPr>
        <w:tab/>
      </w:r>
      <w:r w:rsidRPr="0057224E">
        <w:rPr>
          <w:rStyle w:val="selectable"/>
          <w:rFonts w:ascii="Times New Roman" w:hAnsi="Times New Roman" w:cs="Times New Roman"/>
          <w:sz w:val="24"/>
          <w:szCs w:val="24"/>
        </w:rPr>
        <w:t>https://www.rba.gov.au/statistics/historical-data.html [Accessed 7 Oct. 2017].</w:t>
      </w:r>
    </w:p>
    <w:p w:rsidR="00BC43A8" w:rsidRPr="0072743C" w:rsidRDefault="00BC43A8" w:rsidP="0072743C">
      <w:pPr>
        <w:spacing w:line="480" w:lineRule="auto"/>
        <w:rPr>
          <w:rStyle w:val="selectable"/>
          <w:rFonts w:ascii="Times New Roman" w:hAnsi="Times New Roman" w:cs="Times New Roman"/>
          <w:sz w:val="24"/>
          <w:szCs w:val="24"/>
        </w:rPr>
      </w:pPr>
      <w:r w:rsidRPr="0072743C">
        <w:rPr>
          <w:rStyle w:val="selectable"/>
          <w:rFonts w:ascii="Times New Roman" w:hAnsi="Times New Roman" w:cs="Times New Roman"/>
          <w:sz w:val="24"/>
          <w:szCs w:val="24"/>
        </w:rPr>
        <w:t>Yuan, C. (2011). The exchange rate and macroeconomic determinants: Time-varying transition</w:t>
      </w:r>
      <w:r w:rsidR="0072743C">
        <w:rPr>
          <w:rStyle w:val="selectable"/>
          <w:rFonts w:ascii="Times New Roman" w:hAnsi="Times New Roman" w:cs="Times New Roman"/>
          <w:sz w:val="24"/>
          <w:szCs w:val="24"/>
        </w:rPr>
        <w:t>al</w:t>
      </w:r>
      <w:r w:rsidR="0072743C">
        <w:rPr>
          <w:rStyle w:val="selectable"/>
          <w:rFonts w:ascii="Times New Roman" w:hAnsi="Times New Roman" w:cs="Times New Roman"/>
          <w:sz w:val="24"/>
          <w:szCs w:val="24"/>
        </w:rPr>
        <w:tab/>
      </w:r>
      <w:r w:rsidRPr="0072743C">
        <w:rPr>
          <w:rStyle w:val="selectable"/>
          <w:rFonts w:ascii="Times New Roman" w:hAnsi="Times New Roman" w:cs="Times New Roman"/>
          <w:sz w:val="24"/>
          <w:szCs w:val="24"/>
        </w:rPr>
        <w:t xml:space="preserve">dynamics. </w:t>
      </w:r>
      <w:proofErr w:type="gramStart"/>
      <w:r w:rsidRPr="0072743C">
        <w:rPr>
          <w:rStyle w:val="selectable"/>
          <w:rFonts w:ascii="Times New Roman" w:hAnsi="Times New Roman" w:cs="Times New Roman"/>
          <w:i/>
          <w:iCs/>
          <w:sz w:val="24"/>
          <w:szCs w:val="24"/>
        </w:rPr>
        <w:t>The North American Journal of Economics and Finance</w:t>
      </w:r>
      <w:r w:rsidRPr="0072743C">
        <w:rPr>
          <w:rStyle w:val="selectable"/>
          <w:rFonts w:ascii="Times New Roman" w:hAnsi="Times New Roman" w:cs="Times New Roman"/>
          <w:sz w:val="24"/>
          <w:szCs w:val="24"/>
        </w:rPr>
        <w:t>, 22(2), pp.197-220.</w:t>
      </w:r>
      <w:proofErr w:type="gramEnd"/>
    </w:p>
    <w:p w:rsidR="00BC43A8" w:rsidRPr="0072743C" w:rsidRDefault="00BC43A8" w:rsidP="0072743C">
      <w:pPr>
        <w:spacing w:line="480" w:lineRule="auto"/>
        <w:rPr>
          <w:rStyle w:val="selectable"/>
          <w:rFonts w:ascii="Times New Roman" w:hAnsi="Times New Roman" w:cs="Times New Roman"/>
          <w:sz w:val="24"/>
          <w:szCs w:val="24"/>
        </w:rPr>
      </w:pPr>
      <w:proofErr w:type="gramStart"/>
      <w:r w:rsidRPr="0072743C">
        <w:rPr>
          <w:rStyle w:val="selectable"/>
          <w:rFonts w:ascii="Times New Roman" w:hAnsi="Times New Roman" w:cs="Times New Roman"/>
          <w:sz w:val="24"/>
          <w:szCs w:val="24"/>
        </w:rPr>
        <w:t>World Bank.</w:t>
      </w:r>
      <w:proofErr w:type="gramEnd"/>
      <w:r w:rsidRPr="0072743C">
        <w:rPr>
          <w:rStyle w:val="selectable"/>
          <w:rFonts w:ascii="Times New Roman" w:hAnsi="Times New Roman" w:cs="Times New Roman"/>
          <w:sz w:val="24"/>
          <w:szCs w:val="24"/>
        </w:rPr>
        <w:t xml:space="preserve"> </w:t>
      </w:r>
      <w:proofErr w:type="gramStart"/>
      <w:r w:rsidRPr="0072743C">
        <w:rPr>
          <w:rStyle w:val="selectable"/>
          <w:rFonts w:ascii="Times New Roman" w:hAnsi="Times New Roman" w:cs="Times New Roman"/>
          <w:sz w:val="24"/>
          <w:szCs w:val="24"/>
        </w:rPr>
        <w:t xml:space="preserve">(2017). </w:t>
      </w:r>
      <w:r w:rsidRPr="0072743C">
        <w:rPr>
          <w:rStyle w:val="selectable"/>
          <w:rFonts w:ascii="Times New Roman" w:hAnsi="Times New Roman" w:cs="Times New Roman"/>
          <w:i/>
          <w:iCs/>
          <w:sz w:val="24"/>
          <w:szCs w:val="24"/>
        </w:rPr>
        <w:t>Commodity Markets</w:t>
      </w:r>
      <w:r w:rsidR="0072743C">
        <w:rPr>
          <w:rStyle w:val="selectable"/>
          <w:rFonts w:ascii="Times New Roman" w:hAnsi="Times New Roman" w:cs="Times New Roman"/>
          <w:sz w:val="24"/>
          <w:szCs w:val="24"/>
        </w:rPr>
        <w:t>.</w:t>
      </w:r>
      <w:proofErr w:type="gramEnd"/>
      <w:r w:rsidR="0072743C">
        <w:rPr>
          <w:rStyle w:val="selectable"/>
          <w:rFonts w:ascii="Times New Roman" w:hAnsi="Times New Roman" w:cs="Times New Roman"/>
          <w:sz w:val="24"/>
          <w:szCs w:val="24"/>
        </w:rPr>
        <w:t xml:space="preserve"> [</w:t>
      </w:r>
      <w:proofErr w:type="gramStart"/>
      <w:r w:rsidR="0072743C">
        <w:rPr>
          <w:rStyle w:val="selectable"/>
          <w:rFonts w:ascii="Times New Roman" w:hAnsi="Times New Roman" w:cs="Times New Roman"/>
          <w:sz w:val="24"/>
          <w:szCs w:val="24"/>
        </w:rPr>
        <w:t>online</w:t>
      </w:r>
      <w:proofErr w:type="gramEnd"/>
      <w:r w:rsidR="0072743C">
        <w:rPr>
          <w:rStyle w:val="selectable"/>
          <w:rFonts w:ascii="Times New Roman" w:hAnsi="Times New Roman" w:cs="Times New Roman"/>
          <w:sz w:val="24"/>
          <w:szCs w:val="24"/>
        </w:rPr>
        <w:t>] Available at:</w:t>
      </w:r>
      <w:r w:rsidR="0072743C">
        <w:rPr>
          <w:rStyle w:val="selectable"/>
          <w:rFonts w:ascii="Times New Roman" w:hAnsi="Times New Roman" w:cs="Times New Roman"/>
          <w:sz w:val="24"/>
          <w:szCs w:val="24"/>
        </w:rPr>
        <w:tab/>
      </w:r>
      <w:r w:rsidRPr="0072743C">
        <w:rPr>
          <w:rStyle w:val="selectable"/>
          <w:rFonts w:ascii="Times New Roman" w:hAnsi="Times New Roman" w:cs="Times New Roman"/>
          <w:sz w:val="24"/>
          <w:szCs w:val="24"/>
        </w:rPr>
        <w:t>http://www.worldbank.org/en/research/commodity-markets [Accessed 7 Oct. 2017].</w:t>
      </w:r>
    </w:p>
    <w:p w:rsidR="00BC43A8" w:rsidRDefault="00BC43A8" w:rsidP="00BC43A8">
      <w:pPr>
        <w:pStyle w:val="ListParagraph"/>
      </w:pPr>
    </w:p>
    <w:p w:rsidR="00BC43A8" w:rsidRPr="00BC43A8" w:rsidRDefault="00BC43A8" w:rsidP="00BC43A8">
      <w:pPr>
        <w:rPr>
          <w:rFonts w:ascii="Times New Roman" w:hAnsi="Times New Roman" w:cs="Times New Roman"/>
          <w:sz w:val="24"/>
          <w:szCs w:val="24"/>
        </w:rPr>
      </w:pPr>
    </w:p>
    <w:sectPr w:rsidR="00BC43A8" w:rsidRPr="00BC43A8" w:rsidSect="00652FF1">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917" w:rsidRDefault="00653917" w:rsidP="002C2CAA">
      <w:pPr>
        <w:spacing w:after="0" w:line="240" w:lineRule="auto"/>
      </w:pPr>
      <w:r>
        <w:separator/>
      </w:r>
    </w:p>
  </w:endnote>
  <w:endnote w:type="continuationSeparator" w:id="0">
    <w:p w:rsidR="00653917" w:rsidRDefault="00653917" w:rsidP="002C2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917" w:rsidRDefault="00653917" w:rsidP="002C2CAA">
      <w:pPr>
        <w:spacing w:after="0" w:line="240" w:lineRule="auto"/>
      </w:pPr>
      <w:r>
        <w:separator/>
      </w:r>
    </w:p>
  </w:footnote>
  <w:footnote w:type="continuationSeparator" w:id="0">
    <w:p w:rsidR="00653917" w:rsidRDefault="00653917" w:rsidP="002C2C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CAA" w:rsidRPr="00BA0BA7" w:rsidRDefault="00BA0BA7" w:rsidP="00BA0BA7">
    <w:pPr>
      <w:pStyle w:val="Header"/>
      <w:jc w:val="right"/>
      <w:rPr>
        <w:rFonts w:ascii="Times New Roman" w:hAnsi="Times New Roman" w:cs="Times New Roman"/>
        <w:sz w:val="24"/>
        <w:szCs w:val="24"/>
      </w:rPr>
    </w:pPr>
    <w:r w:rsidRPr="00BA0BA7">
      <w:rPr>
        <w:rFonts w:ascii="Times New Roman" w:hAnsi="Times New Roman" w:cs="Times New Roman"/>
        <w:sz w:val="24"/>
        <w:szCs w:val="24"/>
      </w:rPr>
      <w:t xml:space="preserve">EXCHANGE RATE – CASE STUDY </w:t>
    </w:r>
    <w:r w:rsidRPr="00BA0BA7">
      <w:rPr>
        <w:rFonts w:ascii="Times New Roman" w:hAnsi="Times New Roman" w:cs="Times New Roman"/>
        <w:sz w:val="24"/>
        <w:szCs w:val="24"/>
      </w:rPr>
      <w:fldChar w:fldCharType="begin"/>
    </w:r>
    <w:r w:rsidRPr="00BA0BA7">
      <w:rPr>
        <w:rFonts w:ascii="Times New Roman" w:hAnsi="Times New Roman" w:cs="Times New Roman"/>
        <w:sz w:val="24"/>
        <w:szCs w:val="24"/>
      </w:rPr>
      <w:instrText xml:space="preserve"> PAGE   \* MERGEFORMAT </w:instrText>
    </w:r>
    <w:r w:rsidRPr="00BA0BA7">
      <w:rPr>
        <w:rFonts w:ascii="Times New Roman" w:hAnsi="Times New Roman" w:cs="Times New Roman"/>
        <w:sz w:val="24"/>
        <w:szCs w:val="24"/>
      </w:rPr>
      <w:fldChar w:fldCharType="separate"/>
    </w:r>
    <w:r w:rsidR="0072743C">
      <w:rPr>
        <w:rFonts w:ascii="Times New Roman" w:hAnsi="Times New Roman" w:cs="Times New Roman"/>
        <w:noProof/>
        <w:sz w:val="24"/>
        <w:szCs w:val="24"/>
      </w:rPr>
      <w:t>11</w:t>
    </w:r>
    <w:r w:rsidRPr="00BA0BA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2C2CAA"/>
    <w:rsid w:val="0005698A"/>
    <w:rsid w:val="000F07BA"/>
    <w:rsid w:val="0018236E"/>
    <w:rsid w:val="00195D2A"/>
    <w:rsid w:val="002C03FF"/>
    <w:rsid w:val="002C2CAA"/>
    <w:rsid w:val="002D7AD6"/>
    <w:rsid w:val="0057224E"/>
    <w:rsid w:val="005E1D35"/>
    <w:rsid w:val="00652FF1"/>
    <w:rsid w:val="00653917"/>
    <w:rsid w:val="0072743C"/>
    <w:rsid w:val="00854200"/>
    <w:rsid w:val="00A979A1"/>
    <w:rsid w:val="00BA0BA7"/>
    <w:rsid w:val="00BC43A8"/>
    <w:rsid w:val="00E74747"/>
    <w:rsid w:val="00FD4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C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2CAA"/>
  </w:style>
  <w:style w:type="paragraph" w:styleId="Footer">
    <w:name w:val="footer"/>
    <w:basedOn w:val="Normal"/>
    <w:link w:val="FooterChar"/>
    <w:uiPriority w:val="99"/>
    <w:semiHidden/>
    <w:unhideWhenUsed/>
    <w:rsid w:val="002C2C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2CAA"/>
  </w:style>
  <w:style w:type="paragraph" w:styleId="ListParagraph">
    <w:name w:val="List Paragraph"/>
    <w:basedOn w:val="Normal"/>
    <w:uiPriority w:val="34"/>
    <w:qFormat/>
    <w:rsid w:val="00E74747"/>
    <w:pPr>
      <w:ind w:left="720"/>
      <w:contextualSpacing/>
    </w:pPr>
  </w:style>
  <w:style w:type="character" w:customStyle="1" w:styleId="selectable">
    <w:name w:val="selectable"/>
    <w:basedOn w:val="DefaultParagraphFont"/>
    <w:rsid w:val="00E74747"/>
  </w:style>
  <w:style w:type="paragraph" w:styleId="BalloonText">
    <w:name w:val="Balloon Text"/>
    <w:basedOn w:val="Normal"/>
    <w:link w:val="BalloonTextChar"/>
    <w:uiPriority w:val="99"/>
    <w:semiHidden/>
    <w:unhideWhenUsed/>
    <w:rsid w:val="002D7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D6"/>
    <w:rPr>
      <w:rFonts w:ascii="Tahoma" w:hAnsi="Tahoma" w:cs="Tahoma"/>
      <w:sz w:val="16"/>
      <w:szCs w:val="16"/>
    </w:rPr>
  </w:style>
  <w:style w:type="character" w:styleId="Hyperlink">
    <w:name w:val="Hyperlink"/>
    <w:basedOn w:val="DefaultParagraphFont"/>
    <w:uiPriority w:val="99"/>
    <w:unhideWhenUsed/>
    <w:rsid w:val="00BC43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pra.ub.uni" TargetMode="Externa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ba.gov.au/publications/confs/1993/pdf/blundell-wignall-fahrer-heath.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wrence\Documents\Currency%20Exchang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wrence\Documents\Currency%20Exchan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Sheet1!$B$1</c:f>
              <c:strCache>
                <c:ptCount val="1"/>
                <c:pt idx="0">
                  <c:v>Nominal Exchange Rate </c:v>
                </c:pt>
              </c:strCache>
            </c:strRef>
          </c:tx>
          <c:marker>
            <c:symbol val="none"/>
          </c:marker>
          <c:cat>
            <c:numRef>
              <c:f>Sheet1!$A$2:$A$38</c:f>
              <c:numCache>
                <c:formatCode>dd\-mmm\-yyyy</c:formatCode>
                <c:ptCount val="37"/>
                <c:pt idx="0">
                  <c:v>41912</c:v>
                </c:pt>
                <c:pt idx="1">
                  <c:v>41943</c:v>
                </c:pt>
                <c:pt idx="2">
                  <c:v>41971</c:v>
                </c:pt>
                <c:pt idx="3">
                  <c:v>42004</c:v>
                </c:pt>
                <c:pt idx="4">
                  <c:v>42034</c:v>
                </c:pt>
                <c:pt idx="5">
                  <c:v>42062</c:v>
                </c:pt>
                <c:pt idx="6">
                  <c:v>42094</c:v>
                </c:pt>
                <c:pt idx="7">
                  <c:v>42124</c:v>
                </c:pt>
                <c:pt idx="8">
                  <c:v>42153</c:v>
                </c:pt>
                <c:pt idx="9">
                  <c:v>42185</c:v>
                </c:pt>
                <c:pt idx="10">
                  <c:v>42216</c:v>
                </c:pt>
                <c:pt idx="11">
                  <c:v>42247</c:v>
                </c:pt>
                <c:pt idx="12">
                  <c:v>42277</c:v>
                </c:pt>
                <c:pt idx="13">
                  <c:v>42307</c:v>
                </c:pt>
                <c:pt idx="14">
                  <c:v>42338</c:v>
                </c:pt>
                <c:pt idx="15">
                  <c:v>42369</c:v>
                </c:pt>
                <c:pt idx="16">
                  <c:v>42398</c:v>
                </c:pt>
                <c:pt idx="17">
                  <c:v>42429</c:v>
                </c:pt>
                <c:pt idx="18">
                  <c:v>42460</c:v>
                </c:pt>
                <c:pt idx="19">
                  <c:v>42489</c:v>
                </c:pt>
                <c:pt idx="20">
                  <c:v>42521</c:v>
                </c:pt>
                <c:pt idx="21">
                  <c:v>42551</c:v>
                </c:pt>
                <c:pt idx="22">
                  <c:v>42580</c:v>
                </c:pt>
                <c:pt idx="23">
                  <c:v>42613</c:v>
                </c:pt>
                <c:pt idx="24">
                  <c:v>42643</c:v>
                </c:pt>
                <c:pt idx="25">
                  <c:v>42674</c:v>
                </c:pt>
                <c:pt idx="26">
                  <c:v>42704</c:v>
                </c:pt>
                <c:pt idx="27">
                  <c:v>42734</c:v>
                </c:pt>
                <c:pt idx="28">
                  <c:v>42766</c:v>
                </c:pt>
                <c:pt idx="29">
                  <c:v>42794</c:v>
                </c:pt>
                <c:pt idx="30">
                  <c:v>42825</c:v>
                </c:pt>
                <c:pt idx="31">
                  <c:v>42853</c:v>
                </c:pt>
                <c:pt idx="32">
                  <c:v>42886</c:v>
                </c:pt>
                <c:pt idx="33">
                  <c:v>42916</c:v>
                </c:pt>
                <c:pt idx="34">
                  <c:v>42947</c:v>
                </c:pt>
                <c:pt idx="35">
                  <c:v>42978</c:v>
                </c:pt>
                <c:pt idx="36">
                  <c:v>43007</c:v>
                </c:pt>
              </c:numCache>
            </c:numRef>
          </c:cat>
          <c:val>
            <c:numRef>
              <c:f>Sheet1!$B$2:$B$38</c:f>
              <c:numCache>
                <c:formatCode>0.0000</c:formatCode>
                <c:ptCount val="37"/>
                <c:pt idx="0">
                  <c:v>0.87520000000000009</c:v>
                </c:pt>
                <c:pt idx="1">
                  <c:v>0.88049999999999984</c:v>
                </c:pt>
                <c:pt idx="2">
                  <c:v>0.84910000000000008</c:v>
                </c:pt>
                <c:pt idx="3">
                  <c:v>0.82020000000000004</c:v>
                </c:pt>
                <c:pt idx="4">
                  <c:v>0.77810000000000012</c:v>
                </c:pt>
                <c:pt idx="5">
                  <c:v>0.77920000000000011</c:v>
                </c:pt>
                <c:pt idx="6">
                  <c:v>0.76340000000000008</c:v>
                </c:pt>
                <c:pt idx="7">
                  <c:v>0.79810000000000003</c:v>
                </c:pt>
                <c:pt idx="8">
                  <c:v>0.76630000000000009</c:v>
                </c:pt>
                <c:pt idx="9">
                  <c:v>0.76800000000000013</c:v>
                </c:pt>
                <c:pt idx="10">
                  <c:v>0.72940000000000005</c:v>
                </c:pt>
                <c:pt idx="11">
                  <c:v>0.71490000000000009</c:v>
                </c:pt>
                <c:pt idx="12">
                  <c:v>0.70100000000000007</c:v>
                </c:pt>
                <c:pt idx="13">
                  <c:v>0.70990000000000009</c:v>
                </c:pt>
                <c:pt idx="14">
                  <c:v>0.71890000000000009</c:v>
                </c:pt>
                <c:pt idx="15">
                  <c:v>0.73060000000000014</c:v>
                </c:pt>
                <c:pt idx="16">
                  <c:v>0.71000000000000008</c:v>
                </c:pt>
                <c:pt idx="17">
                  <c:v>0.71400000000000008</c:v>
                </c:pt>
                <c:pt idx="18">
                  <c:v>0.76570000000000016</c:v>
                </c:pt>
                <c:pt idx="19">
                  <c:v>0.76550000000000007</c:v>
                </c:pt>
                <c:pt idx="20">
                  <c:v>0.72419999999999995</c:v>
                </c:pt>
                <c:pt idx="21">
                  <c:v>0.74260000000000015</c:v>
                </c:pt>
                <c:pt idx="22">
                  <c:v>0.75220000000000009</c:v>
                </c:pt>
                <c:pt idx="23">
                  <c:v>0.75140000000000007</c:v>
                </c:pt>
                <c:pt idx="24">
                  <c:v>0.76300000000000012</c:v>
                </c:pt>
                <c:pt idx="25">
                  <c:v>0.76130000000000009</c:v>
                </c:pt>
                <c:pt idx="26">
                  <c:v>0.74739999999999995</c:v>
                </c:pt>
                <c:pt idx="27">
                  <c:v>0.72360000000000013</c:v>
                </c:pt>
                <c:pt idx="28">
                  <c:v>0.75670000000000015</c:v>
                </c:pt>
                <c:pt idx="29">
                  <c:v>0.76880000000000015</c:v>
                </c:pt>
                <c:pt idx="30">
                  <c:v>0.76440000000000008</c:v>
                </c:pt>
                <c:pt idx="31">
                  <c:v>0.74750000000000005</c:v>
                </c:pt>
                <c:pt idx="32">
                  <c:v>0.74500000000000011</c:v>
                </c:pt>
                <c:pt idx="33">
                  <c:v>0.76920000000000011</c:v>
                </c:pt>
                <c:pt idx="34">
                  <c:v>0.79870000000000008</c:v>
                </c:pt>
                <c:pt idx="35">
                  <c:v>0.78979999999999995</c:v>
                </c:pt>
                <c:pt idx="36">
                  <c:v>0.78390000000000004</c:v>
                </c:pt>
              </c:numCache>
            </c:numRef>
          </c:val>
        </c:ser>
        <c:marker val="1"/>
        <c:axId val="87372160"/>
        <c:axId val="87374080"/>
      </c:lineChart>
      <c:dateAx>
        <c:axId val="87372160"/>
        <c:scaling>
          <c:orientation val="minMax"/>
        </c:scaling>
        <c:axPos val="b"/>
        <c:numFmt formatCode="dd\-mmm\-yyyy" sourceLinked="1"/>
        <c:tickLblPos val="nextTo"/>
        <c:crossAx val="87374080"/>
        <c:crosses val="autoZero"/>
        <c:auto val="1"/>
        <c:lblOffset val="100"/>
      </c:dateAx>
      <c:valAx>
        <c:axId val="87374080"/>
        <c:scaling>
          <c:orientation val="minMax"/>
        </c:scaling>
        <c:axPos val="l"/>
        <c:majorGridlines/>
        <c:numFmt formatCode="0.0000" sourceLinked="1"/>
        <c:tickLblPos val="nextTo"/>
        <c:crossAx val="8737216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4"/>
  <c:chart>
    <c:title/>
    <c:plotArea>
      <c:layout/>
      <c:lineChart>
        <c:grouping val="standard"/>
        <c:ser>
          <c:idx val="0"/>
          <c:order val="0"/>
          <c:tx>
            <c:strRef>
              <c:f>Sheet1!$C$1</c:f>
              <c:strCache>
                <c:ptCount val="1"/>
                <c:pt idx="0">
                  <c:v>Trade Weighted Index</c:v>
                </c:pt>
              </c:strCache>
            </c:strRef>
          </c:tx>
          <c:marker>
            <c:symbol val="none"/>
          </c:marker>
          <c:cat>
            <c:numRef>
              <c:f>Sheet1!$A$2:$A$38</c:f>
              <c:numCache>
                <c:formatCode>dd\-mmm\-yyyy</c:formatCode>
                <c:ptCount val="37"/>
                <c:pt idx="0">
                  <c:v>41912</c:v>
                </c:pt>
                <c:pt idx="1">
                  <c:v>41943</c:v>
                </c:pt>
                <c:pt idx="2">
                  <c:v>41971</c:v>
                </c:pt>
                <c:pt idx="3">
                  <c:v>42004</c:v>
                </c:pt>
                <c:pt idx="4">
                  <c:v>42034</c:v>
                </c:pt>
                <c:pt idx="5">
                  <c:v>42062</c:v>
                </c:pt>
                <c:pt idx="6">
                  <c:v>42094</c:v>
                </c:pt>
                <c:pt idx="7">
                  <c:v>42124</c:v>
                </c:pt>
                <c:pt idx="8">
                  <c:v>42153</c:v>
                </c:pt>
                <c:pt idx="9">
                  <c:v>42185</c:v>
                </c:pt>
                <c:pt idx="10">
                  <c:v>42216</c:v>
                </c:pt>
                <c:pt idx="11">
                  <c:v>42247</c:v>
                </c:pt>
                <c:pt idx="12">
                  <c:v>42277</c:v>
                </c:pt>
                <c:pt idx="13">
                  <c:v>42307</c:v>
                </c:pt>
                <c:pt idx="14">
                  <c:v>42338</c:v>
                </c:pt>
                <c:pt idx="15">
                  <c:v>42369</c:v>
                </c:pt>
                <c:pt idx="16">
                  <c:v>42398</c:v>
                </c:pt>
                <c:pt idx="17">
                  <c:v>42429</c:v>
                </c:pt>
                <c:pt idx="18">
                  <c:v>42460</c:v>
                </c:pt>
                <c:pt idx="19">
                  <c:v>42489</c:v>
                </c:pt>
                <c:pt idx="20">
                  <c:v>42521</c:v>
                </c:pt>
                <c:pt idx="21">
                  <c:v>42551</c:v>
                </c:pt>
                <c:pt idx="22">
                  <c:v>42580</c:v>
                </c:pt>
                <c:pt idx="23">
                  <c:v>42613</c:v>
                </c:pt>
                <c:pt idx="24">
                  <c:v>42643</c:v>
                </c:pt>
                <c:pt idx="25">
                  <c:v>42674</c:v>
                </c:pt>
                <c:pt idx="26">
                  <c:v>42704</c:v>
                </c:pt>
                <c:pt idx="27">
                  <c:v>42734</c:v>
                </c:pt>
                <c:pt idx="28">
                  <c:v>42766</c:v>
                </c:pt>
                <c:pt idx="29">
                  <c:v>42794</c:v>
                </c:pt>
                <c:pt idx="30">
                  <c:v>42825</c:v>
                </c:pt>
                <c:pt idx="31">
                  <c:v>42853</c:v>
                </c:pt>
                <c:pt idx="32">
                  <c:v>42886</c:v>
                </c:pt>
                <c:pt idx="33">
                  <c:v>42916</c:v>
                </c:pt>
                <c:pt idx="34">
                  <c:v>42947</c:v>
                </c:pt>
                <c:pt idx="35">
                  <c:v>42978</c:v>
                </c:pt>
                <c:pt idx="36">
                  <c:v>43007</c:v>
                </c:pt>
              </c:numCache>
            </c:numRef>
          </c:cat>
          <c:val>
            <c:numRef>
              <c:f>Sheet1!$C$2:$C$38</c:f>
              <c:numCache>
                <c:formatCode>0.0</c:formatCode>
                <c:ptCount val="37"/>
                <c:pt idx="0">
                  <c:v>68.900000000000006</c:v>
                </c:pt>
                <c:pt idx="1">
                  <c:v>69.400000000000006</c:v>
                </c:pt>
                <c:pt idx="2">
                  <c:v>68.2</c:v>
                </c:pt>
                <c:pt idx="3">
                  <c:v>66.5</c:v>
                </c:pt>
                <c:pt idx="4">
                  <c:v>63.9</c:v>
                </c:pt>
                <c:pt idx="5">
                  <c:v>64.099999999999994</c:v>
                </c:pt>
                <c:pt idx="6">
                  <c:v>63.3</c:v>
                </c:pt>
                <c:pt idx="7">
                  <c:v>65.3</c:v>
                </c:pt>
                <c:pt idx="8">
                  <c:v>63.7</c:v>
                </c:pt>
                <c:pt idx="9">
                  <c:v>63.8</c:v>
                </c:pt>
                <c:pt idx="10">
                  <c:v>61.4</c:v>
                </c:pt>
                <c:pt idx="11">
                  <c:v>60.9</c:v>
                </c:pt>
                <c:pt idx="12">
                  <c:v>59.9</c:v>
                </c:pt>
                <c:pt idx="13">
                  <c:v>60.3</c:v>
                </c:pt>
                <c:pt idx="14">
                  <c:v>61.8</c:v>
                </c:pt>
                <c:pt idx="15">
                  <c:v>62.7</c:v>
                </c:pt>
                <c:pt idx="16">
                  <c:v>61.5</c:v>
                </c:pt>
                <c:pt idx="17">
                  <c:v>61.4</c:v>
                </c:pt>
                <c:pt idx="18">
                  <c:v>64.400000000000006</c:v>
                </c:pt>
                <c:pt idx="19">
                  <c:v>63.8</c:v>
                </c:pt>
                <c:pt idx="20">
                  <c:v>61.7</c:v>
                </c:pt>
                <c:pt idx="21">
                  <c:v>62.5</c:v>
                </c:pt>
                <c:pt idx="22">
                  <c:v>63.3</c:v>
                </c:pt>
                <c:pt idx="23">
                  <c:v>63.2</c:v>
                </c:pt>
                <c:pt idx="24">
                  <c:v>63.9</c:v>
                </c:pt>
                <c:pt idx="25">
                  <c:v>65</c:v>
                </c:pt>
                <c:pt idx="26">
                  <c:v>65.3</c:v>
                </c:pt>
                <c:pt idx="27">
                  <c:v>63.9</c:v>
                </c:pt>
                <c:pt idx="28">
                  <c:v>65.8</c:v>
                </c:pt>
                <c:pt idx="29">
                  <c:v>66.7</c:v>
                </c:pt>
                <c:pt idx="30">
                  <c:v>66.2</c:v>
                </c:pt>
                <c:pt idx="31">
                  <c:v>64.5</c:v>
                </c:pt>
                <c:pt idx="32">
                  <c:v>63.8</c:v>
                </c:pt>
                <c:pt idx="33">
                  <c:v>65.5</c:v>
                </c:pt>
                <c:pt idx="34">
                  <c:v>67.3</c:v>
                </c:pt>
                <c:pt idx="35">
                  <c:v>66.3</c:v>
                </c:pt>
                <c:pt idx="36">
                  <c:v>66.2</c:v>
                </c:pt>
              </c:numCache>
            </c:numRef>
          </c:val>
        </c:ser>
        <c:marker val="1"/>
        <c:axId val="87998464"/>
        <c:axId val="88000384"/>
      </c:lineChart>
      <c:dateAx>
        <c:axId val="87998464"/>
        <c:scaling>
          <c:orientation val="minMax"/>
        </c:scaling>
        <c:axPos val="b"/>
        <c:numFmt formatCode="dd\-mmm\-yyyy" sourceLinked="1"/>
        <c:tickLblPos val="nextTo"/>
        <c:crossAx val="88000384"/>
        <c:crosses val="autoZero"/>
        <c:auto val="1"/>
        <c:lblOffset val="100"/>
      </c:dateAx>
      <c:valAx>
        <c:axId val="88000384"/>
        <c:scaling>
          <c:orientation val="minMax"/>
        </c:scaling>
        <c:axPos val="l"/>
        <c:majorGridlines/>
        <c:numFmt formatCode="0.0" sourceLinked="1"/>
        <c:tickLblPos val="nextTo"/>
        <c:crossAx val="8799846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2017-10-07T14:06:00Z</dcterms:created>
  <dcterms:modified xsi:type="dcterms:W3CDTF">2017-10-07T14:28:00Z</dcterms:modified>
</cp:coreProperties>
</file>