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D8D" w:rsidRDefault="00653D8D" w:rsidP="00653D8D">
      <w:pPr>
        <w:pStyle w:val="a3"/>
        <w:shd w:val="clear" w:color="auto" w:fill="FFFFFF"/>
        <w:spacing w:before="0" w:beforeAutospacing="0" w:after="0" w:afterAutospacing="0"/>
        <w:rPr>
          <w:color w:val="44505D"/>
        </w:rPr>
      </w:pPr>
      <w:bookmarkStart w:id="0" w:name="_GoBack"/>
      <w:bookmarkEnd w:id="0"/>
      <w:r>
        <w:rPr>
          <w:color w:val="44505D"/>
        </w:rPr>
        <w:t xml:space="preserve">Post1 </w:t>
      </w:r>
    </w:p>
    <w:p w:rsidR="00653D8D" w:rsidRDefault="00653D8D" w:rsidP="00653D8D">
      <w:pPr>
        <w:pStyle w:val="a3"/>
        <w:shd w:val="clear" w:color="auto" w:fill="FFFFFF"/>
        <w:spacing w:before="0" w:beforeAutospacing="0" w:after="0" w:afterAutospacing="0"/>
        <w:jc w:val="center"/>
        <w:rPr>
          <w:rFonts w:ascii="Tahoma" w:hAnsi="Tahoma" w:cs="Tahoma"/>
          <w:color w:val="44505D"/>
          <w:sz w:val="18"/>
          <w:szCs w:val="18"/>
        </w:rPr>
      </w:pPr>
      <w:r>
        <w:rPr>
          <w:color w:val="44505D"/>
        </w:rPr>
        <w:t>Product Cost Vs Period Cost</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 xml:space="preserve">Product cost and period cost are components of cost accounting. </w:t>
      </w:r>
      <w:proofErr w:type="gramStart"/>
      <w:r>
        <w:rPr>
          <w:color w:val="44505D"/>
        </w:rPr>
        <w:t>Both of these</w:t>
      </w:r>
      <w:proofErr w:type="gramEnd"/>
      <w:r>
        <w:rPr>
          <w:color w:val="44505D"/>
        </w:rPr>
        <w:t xml:space="preserve"> costs are expensed out in income statement but reporting of both costs vary substantially. Product cost is also referred to as manufacturing cost and it comprises on cost of direct material, direct </w:t>
      </w:r>
      <w:proofErr w:type="spellStart"/>
      <w:r>
        <w:rPr>
          <w:color w:val="44505D"/>
        </w:rPr>
        <w:t>labour</w:t>
      </w:r>
      <w:proofErr w:type="spellEnd"/>
      <w:r>
        <w:rPr>
          <w:color w:val="44505D"/>
        </w:rPr>
        <w:t xml:space="preserve"> and manufacturing overhead. These are the cost that incur during the process of manufacturing or acquiring a product. This cost is initially reported as inventory in balance sheet and then expensed out as cost of goods sold against revenues when a product is sold out (Hughes, et al., 2003).</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 xml:space="preserve">On the other </w:t>
      </w:r>
      <w:proofErr w:type="gramStart"/>
      <w:r>
        <w:rPr>
          <w:color w:val="44505D"/>
        </w:rPr>
        <w:t>hand</w:t>
      </w:r>
      <w:proofErr w:type="gramEnd"/>
      <w:r>
        <w:rPr>
          <w:color w:val="44505D"/>
        </w:rPr>
        <w:t xml:space="preserve"> period cost is that cost which is not included in the cost of manufactured products and inventory. Examples of period cost include advertising expenses, selling expenses and general administration expenses. These are not part of manufacturing cost and hence these costs are recorded under expenses in income statement in the period they occur. Organization does not have to wait for the product to be sold </w:t>
      </w:r>
      <w:proofErr w:type="gramStart"/>
      <w:r>
        <w:rPr>
          <w:color w:val="44505D"/>
        </w:rPr>
        <w:t>in order to</w:t>
      </w:r>
      <w:proofErr w:type="gramEnd"/>
      <w:r>
        <w:rPr>
          <w:color w:val="44505D"/>
        </w:rPr>
        <w:t xml:space="preserve"> record these expenses.</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 xml:space="preserve">It is essential for both managerial and external reporting perspective to differentiate between both costs and record them separately. Cost accounting system is designed in a way that assists management in making decisions regarding cost control and manufacturing procedures. Costing procedures are also important for making administrative and pricing related decisions. For </w:t>
      </w:r>
      <w:proofErr w:type="gramStart"/>
      <w:r>
        <w:rPr>
          <w:color w:val="44505D"/>
        </w:rPr>
        <w:t>example</w:t>
      </w:r>
      <w:proofErr w:type="gramEnd"/>
      <w:r>
        <w:rPr>
          <w:color w:val="44505D"/>
        </w:rPr>
        <w:t xml:space="preserve"> separate accounting of product cost allow managers to calculate marginal cost with an extra unit of production and cut down additional costs during manufacturing process. Separate accounting of both cost also give a clear picture of gross profit (</w:t>
      </w:r>
      <w:proofErr w:type="spellStart"/>
      <w:r>
        <w:rPr>
          <w:color w:val="44505D"/>
        </w:rPr>
        <w:t>Alahdal</w:t>
      </w:r>
      <w:proofErr w:type="spellEnd"/>
      <w:r>
        <w:rPr>
          <w:color w:val="44505D"/>
        </w:rPr>
        <w:t>, et al., 2016).</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Reporting of separate period and product cost is also essential for external reporting because Generally Accepted Accounting Principles (GAAP) requires organizations to report both costs separately. Under GAAP all marketing, selling and administration expenses are treated as period costs.</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References</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Hughes, S. B, Paulson. G, &amp; Kathy A. (2003). "Do Different Cost Systems Make a Difference?" Scholarship and Professional Work - Business. 11.</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Retrieved from: </w:t>
      </w:r>
      <w:hyperlink r:id="rId5" w:history="1">
        <w:r>
          <w:rPr>
            <w:rStyle w:val="Hyperlink"/>
            <w:color w:val="5388C2"/>
          </w:rPr>
          <w:t>http://digitalcommons.butler.edu/cob_papers/11</w:t>
        </w:r>
      </w:hyperlink>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rPr>
        <w:t xml:space="preserve">M. </w:t>
      </w:r>
      <w:proofErr w:type="spellStart"/>
      <w:r>
        <w:rPr>
          <w:color w:val="44505D"/>
        </w:rPr>
        <w:t>Alahdal</w:t>
      </w:r>
      <w:proofErr w:type="spellEnd"/>
      <w:r>
        <w:rPr>
          <w:color w:val="44505D"/>
        </w:rPr>
        <w:t xml:space="preserve">, H. </w:t>
      </w:r>
      <w:proofErr w:type="spellStart"/>
      <w:r>
        <w:rPr>
          <w:color w:val="44505D"/>
        </w:rPr>
        <w:t>Alsamhi</w:t>
      </w:r>
      <w:proofErr w:type="spellEnd"/>
      <w:r>
        <w:rPr>
          <w:color w:val="44505D"/>
        </w:rPr>
        <w:t xml:space="preserve"> &amp; T. </w:t>
      </w:r>
      <w:proofErr w:type="spellStart"/>
      <w:r>
        <w:rPr>
          <w:color w:val="44505D"/>
        </w:rPr>
        <w:t>Prusty</w:t>
      </w:r>
      <w:proofErr w:type="spellEnd"/>
      <w:r>
        <w:rPr>
          <w:color w:val="44505D"/>
        </w:rPr>
        <w:t xml:space="preserve"> (2016). The Role of Cost Accounting System in the Pricing Decision Making in Industrial Companies of </w:t>
      </w:r>
      <w:proofErr w:type="spellStart"/>
      <w:r>
        <w:rPr>
          <w:color w:val="44505D"/>
        </w:rPr>
        <w:t>Taiz</w:t>
      </w:r>
      <w:proofErr w:type="spellEnd"/>
      <w:r>
        <w:rPr>
          <w:color w:val="44505D"/>
        </w:rPr>
        <w:t xml:space="preserve"> City, Yemen. International Academic Journal of Accounting and Financial Management, Vol. 3, No. 7.</w:t>
      </w:r>
    </w:p>
    <w:p w:rsidR="00656D8B" w:rsidRDefault="00656D8B" w:rsidP="00653D8D">
      <w:pPr>
        <w:jc w:val="right"/>
        <w:rPr>
          <w:rtl/>
        </w:rPr>
      </w:pPr>
    </w:p>
    <w:p w:rsidR="00653D8D" w:rsidRDefault="00653D8D" w:rsidP="00653D8D">
      <w:pPr>
        <w:jc w:val="right"/>
      </w:pPr>
      <w:proofErr w:type="gramStart"/>
      <w:r>
        <w:t>Comment :</w:t>
      </w:r>
      <w:proofErr w:type="gramEnd"/>
      <w:r>
        <w:t xml:space="preserve"> </w:t>
      </w: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rPr>
          <w:rFonts w:hint="cs"/>
        </w:rPr>
      </w:pPr>
    </w:p>
    <w:p w:rsidR="00653D8D" w:rsidRDefault="00653D8D" w:rsidP="00653D8D">
      <w:pPr>
        <w:jc w:val="right"/>
      </w:pPr>
    </w:p>
    <w:p w:rsidR="00653D8D" w:rsidRDefault="00653D8D">
      <w:pPr>
        <w:rPr>
          <w:rFonts w:hint="cs"/>
          <w:rtl/>
        </w:rPr>
      </w:pPr>
    </w:p>
    <w:p w:rsidR="00653D8D" w:rsidRDefault="00653D8D">
      <w:pPr>
        <w:rPr>
          <w:rtl/>
        </w:rPr>
      </w:pPr>
    </w:p>
    <w:p w:rsidR="00653D8D" w:rsidRDefault="00653D8D">
      <w:pPr>
        <w:rPr>
          <w:rFonts w:hint="cs"/>
          <w:rtl/>
        </w:rPr>
      </w:pPr>
    </w:p>
    <w:p w:rsidR="00653D8D" w:rsidRDefault="00653D8D" w:rsidP="00653D8D">
      <w:pPr>
        <w:jc w:val="right"/>
        <w:rPr>
          <w:rFonts w:hint="cs"/>
          <w:rtl/>
        </w:rPr>
      </w:pPr>
      <w:r>
        <w:lastRenderedPageBreak/>
        <w:t>Post2</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000000"/>
          <w:spacing w:val="-15"/>
          <w:sz w:val="18"/>
          <w:szCs w:val="18"/>
          <w:bdr w:val="none" w:sz="0" w:space="0" w:color="auto" w:frame="1"/>
        </w:rPr>
        <w:t>Product costs inc</w:t>
      </w:r>
      <w:r>
        <w:rPr>
          <w:color w:val="000000"/>
          <w:sz w:val="18"/>
          <w:szCs w:val="18"/>
          <w:bdr w:val="none" w:sz="0" w:space="0" w:color="auto" w:frame="1"/>
        </w:rPr>
        <w:t>lude all</w:t>
      </w:r>
      <w:r>
        <w:rPr>
          <w:color w:val="000000"/>
          <w:sz w:val="18"/>
          <w:szCs w:val="18"/>
        </w:rPr>
        <w:t> </w:t>
      </w:r>
      <w:r>
        <w:rPr>
          <w:color w:val="000000"/>
          <w:sz w:val="18"/>
          <w:szCs w:val="18"/>
          <w:bdr w:val="none" w:sz="0" w:space="0" w:color="auto" w:frame="1"/>
        </w:rPr>
        <w:t>the costs that are involved in acquiring or making a product. In the case of manufacturing goods,</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000000"/>
          <w:sz w:val="18"/>
          <w:szCs w:val="18"/>
          <w:bdr w:val="none" w:sz="0" w:space="0" w:color="auto" w:frame="1"/>
        </w:rPr>
        <w:t>these costs consist of direct</w:t>
      </w:r>
      <w:r>
        <w:rPr>
          <w:color w:val="000000"/>
          <w:sz w:val="18"/>
          <w:szCs w:val="18"/>
        </w:rPr>
        <w:t> </w:t>
      </w:r>
      <w:r>
        <w:rPr>
          <w:color w:val="000000"/>
          <w:sz w:val="18"/>
          <w:szCs w:val="18"/>
          <w:bdr w:val="none" w:sz="0" w:space="0" w:color="auto" w:frame="1"/>
        </w:rPr>
        <w:t>material, direct</w:t>
      </w:r>
      <w:r>
        <w:rPr>
          <w:color w:val="000000"/>
          <w:sz w:val="18"/>
          <w:szCs w:val="18"/>
        </w:rPr>
        <w:t> </w:t>
      </w:r>
      <w:r>
        <w:rPr>
          <w:color w:val="000000"/>
          <w:sz w:val="18"/>
          <w:szCs w:val="18"/>
          <w:bdr w:val="none" w:sz="0" w:space="0" w:color="auto" w:frame="1"/>
        </w:rPr>
        <w:t>labor, and</w:t>
      </w:r>
      <w:r>
        <w:rPr>
          <w:color w:val="000000"/>
          <w:sz w:val="18"/>
          <w:szCs w:val="18"/>
        </w:rPr>
        <w:t> </w:t>
      </w:r>
      <w:r>
        <w:rPr>
          <w:color w:val="000000"/>
          <w:sz w:val="18"/>
          <w:szCs w:val="18"/>
          <w:bdr w:val="none" w:sz="0" w:space="0" w:color="auto" w:frame="1"/>
        </w:rPr>
        <w:t>manufacturing overhead. Product costs are initially assigned to inventories. So, they are </w:t>
      </w:r>
      <w:r>
        <w:rPr>
          <w:color w:val="000000"/>
          <w:spacing w:val="-15"/>
          <w:sz w:val="18"/>
          <w:szCs w:val="18"/>
          <w:bdr w:val="none" w:sz="0" w:space="0" w:color="auto" w:frame="1"/>
        </w:rPr>
        <w:t>known as inventor-ab</w:t>
      </w:r>
      <w:r>
        <w:rPr>
          <w:color w:val="000000"/>
          <w:sz w:val="18"/>
          <w:szCs w:val="18"/>
          <w:bdr w:val="none" w:sz="0" w:space="0" w:color="auto" w:frame="1"/>
        </w:rPr>
        <w:t>le costs.</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000000"/>
          <w:sz w:val="18"/>
          <w:szCs w:val="18"/>
          <w:bdr w:val="none" w:sz="0" w:space="0" w:color="auto" w:frame="1"/>
        </w:rPr>
        <w:t>Period costs are all</w:t>
      </w:r>
      <w:r>
        <w:rPr>
          <w:color w:val="000000"/>
          <w:sz w:val="18"/>
          <w:szCs w:val="18"/>
        </w:rPr>
        <w:t> </w:t>
      </w:r>
      <w:r>
        <w:rPr>
          <w:color w:val="000000"/>
          <w:sz w:val="18"/>
          <w:szCs w:val="18"/>
          <w:bdr w:val="none" w:sz="0" w:space="0" w:color="auto" w:frame="1"/>
        </w:rPr>
        <w:t>the costs that are not incurred in product costs. These costs are </w:t>
      </w:r>
      <w:r>
        <w:rPr>
          <w:color w:val="000000"/>
          <w:spacing w:val="-15"/>
          <w:sz w:val="18"/>
          <w:szCs w:val="18"/>
          <w:bdr w:val="none" w:sz="0" w:space="0" w:color="auto" w:frame="1"/>
        </w:rPr>
        <w:t>expensed on the inco</w:t>
      </w:r>
      <w:r>
        <w:rPr>
          <w:color w:val="000000"/>
          <w:sz w:val="18"/>
          <w:szCs w:val="18"/>
          <w:bdr w:val="none" w:sz="0" w:space="0" w:color="auto" w:frame="1"/>
        </w:rPr>
        <w:t>me statement in the period in which they are incurred, using the </w:t>
      </w:r>
      <w:r>
        <w:rPr>
          <w:color w:val="000000"/>
          <w:spacing w:val="-15"/>
          <w:sz w:val="18"/>
          <w:szCs w:val="18"/>
          <w:bdr w:val="none" w:sz="0" w:space="0" w:color="auto" w:frame="1"/>
        </w:rPr>
        <w:t>usua</w:t>
      </w:r>
      <w:r>
        <w:rPr>
          <w:color w:val="000000"/>
          <w:sz w:val="18"/>
          <w:szCs w:val="18"/>
          <w:bdr w:val="none" w:sz="0" w:space="0" w:color="auto" w:frame="1"/>
        </w:rPr>
        <w:t>l rul</w:t>
      </w:r>
      <w:r>
        <w:rPr>
          <w:color w:val="000000"/>
          <w:spacing w:val="-15"/>
          <w:sz w:val="18"/>
          <w:szCs w:val="18"/>
          <w:bdr w:val="none" w:sz="0" w:space="0" w:color="auto" w:frame="1"/>
        </w:rPr>
        <w:t>es of accrual</w:t>
      </w:r>
      <w:r>
        <w:rPr>
          <w:color w:val="000000"/>
          <w:sz w:val="18"/>
          <w:szCs w:val="18"/>
        </w:rPr>
        <w:t> </w:t>
      </w:r>
      <w:r>
        <w:rPr>
          <w:color w:val="000000"/>
          <w:sz w:val="18"/>
          <w:szCs w:val="18"/>
          <w:bdr w:val="none" w:sz="0" w:space="0" w:color="auto" w:frame="1"/>
        </w:rPr>
        <w:t>accounting. Period costs are not included as part of the cost of either purchase or</w:t>
      </w:r>
      <w:r>
        <w:rPr>
          <w:color w:val="000000"/>
          <w:sz w:val="18"/>
          <w:szCs w:val="18"/>
        </w:rPr>
        <w:t> </w:t>
      </w:r>
      <w:r>
        <w:rPr>
          <w:color w:val="000000"/>
          <w:sz w:val="18"/>
          <w:szCs w:val="18"/>
          <w:bdr w:val="none" w:sz="0" w:space="0" w:color="auto" w:frame="1"/>
        </w:rPr>
        <w:t>manufactured goods. Example: Sales commission,</w:t>
      </w:r>
      <w:r>
        <w:rPr>
          <w:color w:val="000000"/>
          <w:sz w:val="18"/>
          <w:szCs w:val="18"/>
        </w:rPr>
        <w:t> </w:t>
      </w:r>
      <w:r>
        <w:rPr>
          <w:rStyle w:val="a4"/>
          <w:color w:val="000000"/>
          <w:sz w:val="18"/>
          <w:szCs w:val="18"/>
          <w:bdr w:val="none" w:sz="0" w:space="0" w:color="auto" w:frame="1"/>
        </w:rPr>
        <w:t>O</w:t>
      </w:r>
      <w:r>
        <w:rPr>
          <w:color w:val="000000"/>
          <w:sz w:val="18"/>
          <w:szCs w:val="18"/>
          <w:bdr w:val="none" w:sz="0" w:space="0" w:color="auto" w:frame="1"/>
        </w:rPr>
        <w:t>ffice rent.</w:t>
      </w:r>
      <w:r>
        <w:rPr>
          <w:color w:val="000000"/>
          <w:sz w:val="18"/>
          <w:szCs w:val="18"/>
        </w:rPr>
        <w:t> </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000000"/>
          <w:sz w:val="18"/>
          <w:szCs w:val="18"/>
        </w:rPr>
        <w:t xml:space="preserve">It is important to separate product cost from period cost as it is essential to take a right decision. Depending on period cost we can also take some corrective action. Normally sales commission, office rent and other types of cost are included in the period cost. Suppose our net income is lower than our expectation then we can increase our net income by reducing period cost. Let’s take office rent. If our office rent is high then we can reduce the rent by shifting office place. However, for many decision-making purposes, the period cost </w:t>
      </w:r>
      <w:proofErr w:type="gramStart"/>
      <w:r>
        <w:rPr>
          <w:color w:val="000000"/>
          <w:sz w:val="18"/>
          <w:szCs w:val="18"/>
        </w:rPr>
        <w:t>is seen as</w:t>
      </w:r>
      <w:proofErr w:type="gramEnd"/>
      <w:r>
        <w:rPr>
          <w:color w:val="000000"/>
          <w:sz w:val="18"/>
          <w:szCs w:val="18"/>
        </w:rPr>
        <w:t xml:space="preserve"> being non-controllable in the short term, so that attention may focus on product cost.</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000000"/>
          <w:sz w:val="18"/>
          <w:szCs w:val="18"/>
        </w:rPr>
        <w:t> </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sz w:val="18"/>
          <w:szCs w:val="18"/>
        </w:rPr>
        <w:t>Reference:</w:t>
      </w:r>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rFonts w:ascii="Symbol" w:hAnsi="Symbol" w:cs="Tahoma"/>
          <w:color w:val="44505D"/>
          <w:sz w:val="18"/>
          <w:szCs w:val="18"/>
        </w:rPr>
        <w:t></w:t>
      </w:r>
      <w:r>
        <w:rPr>
          <w:color w:val="44505D"/>
          <w:sz w:val="14"/>
          <w:szCs w:val="14"/>
        </w:rPr>
        <w:t>         </w:t>
      </w:r>
      <w:r>
        <w:rPr>
          <w:color w:val="44505D"/>
          <w:sz w:val="18"/>
          <w:szCs w:val="18"/>
        </w:rPr>
        <w:t> </w:t>
      </w:r>
      <w:hyperlink r:id="rId6" w:history="1">
        <w:r>
          <w:rPr>
            <w:rStyle w:val="Hyperlink"/>
            <w:color w:val="5388C2"/>
            <w:sz w:val="18"/>
            <w:szCs w:val="18"/>
          </w:rPr>
          <w:t>http://simplestudies.com/absorption-variable-throughput-costing.html</w:t>
        </w:r>
      </w:hyperlink>
    </w:p>
    <w:p w:rsidR="00653D8D" w:rsidRDefault="00653D8D" w:rsidP="00653D8D">
      <w:pPr>
        <w:pStyle w:val="a3"/>
        <w:shd w:val="clear" w:color="auto" w:fill="FFFFFF"/>
        <w:spacing w:before="0" w:beforeAutospacing="0" w:after="0" w:afterAutospacing="0"/>
        <w:ind w:hanging="360"/>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sz w:val="18"/>
          <w:szCs w:val="18"/>
        </w:rPr>
        <w:t></w:t>
      </w:r>
      <w:r>
        <w:rPr>
          <w:color w:val="44505D"/>
          <w:sz w:val="14"/>
          <w:szCs w:val="14"/>
        </w:rPr>
        <w:t>         </w:t>
      </w:r>
      <w:hyperlink r:id="rId7" w:history="1">
        <w:r>
          <w:rPr>
            <w:rStyle w:val="Hyperlink"/>
            <w:color w:val="5388C2"/>
            <w:sz w:val="18"/>
            <w:szCs w:val="18"/>
          </w:rPr>
          <w:t>https://www.accountingcoach.com/blog/product-costs-period-costs</w:t>
        </w:r>
      </w:hyperlink>
    </w:p>
    <w:p w:rsidR="00653D8D" w:rsidRDefault="00653D8D" w:rsidP="00653D8D">
      <w:pPr>
        <w:pStyle w:val="a3"/>
        <w:shd w:val="clear" w:color="auto" w:fill="FFFFFF"/>
        <w:spacing w:before="0" w:beforeAutospacing="0" w:after="0" w:afterAutospacing="0"/>
        <w:rPr>
          <w:rFonts w:ascii="Tahoma" w:hAnsi="Tahoma" w:cs="Tahoma"/>
          <w:color w:val="44505D"/>
          <w:sz w:val="18"/>
          <w:szCs w:val="18"/>
        </w:rPr>
      </w:pPr>
      <w:r>
        <w:rPr>
          <w:color w:val="44505D"/>
          <w:sz w:val="18"/>
          <w:szCs w:val="18"/>
        </w:rPr>
        <w:t> </w:t>
      </w:r>
    </w:p>
    <w:p w:rsidR="00653D8D" w:rsidRDefault="00653D8D">
      <w:pPr>
        <w:rPr>
          <w:rtl/>
        </w:rPr>
      </w:pPr>
    </w:p>
    <w:p w:rsidR="00653D8D" w:rsidRDefault="00653D8D" w:rsidP="00653D8D">
      <w:pPr>
        <w:jc w:val="right"/>
      </w:pPr>
      <w:proofErr w:type="gramStart"/>
      <w:r>
        <w:t>Comment :</w:t>
      </w:r>
      <w:proofErr w:type="gramEnd"/>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rPr>
          <w:rFonts w:hint="cs"/>
          <w:rtl/>
        </w:rPr>
      </w:pPr>
      <w:r>
        <w:t xml:space="preserve">Post3 </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Change is inevitable. The business world is greatly revolving and change is, therefore, a thing that managers won’t just avoid or assume. Implementing change is a very involving issue that if not well taken care of will lead to great losses to the business.</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The components of implementing change strategies include:</w:t>
      </w:r>
    </w:p>
    <w:p w:rsidR="00653D8D" w:rsidRPr="00653D8D" w:rsidRDefault="00653D8D" w:rsidP="00653D8D">
      <w:pPr>
        <w:numPr>
          <w:ilvl w:val="0"/>
          <w:numId w:val="1"/>
        </w:numPr>
        <w:shd w:val="clear" w:color="auto" w:fill="FFFFFF"/>
        <w:bidi w:val="0"/>
        <w:spacing w:after="0" w:line="240" w:lineRule="auto"/>
        <w:ind w:right="720"/>
        <w:rPr>
          <w:rFonts w:ascii="Tahoma" w:eastAsia="Times New Roman" w:hAnsi="Tahoma" w:cs="Tahoma"/>
          <w:color w:val="333333"/>
          <w:sz w:val="18"/>
          <w:szCs w:val="18"/>
        </w:rPr>
      </w:pPr>
      <w:r w:rsidRPr="00653D8D">
        <w:rPr>
          <w:rFonts w:ascii="Times New Roman" w:eastAsia="Times New Roman" w:hAnsi="Times New Roman" w:cs="Times New Roman"/>
          <w:color w:val="333333"/>
          <w:sz w:val="14"/>
          <w:szCs w:val="14"/>
        </w:rPr>
        <w:t> </w:t>
      </w:r>
      <w:r w:rsidRPr="00653D8D">
        <w:rPr>
          <w:rFonts w:ascii="Times New Roman" w:eastAsia="Times New Roman" w:hAnsi="Times New Roman" w:cs="Times New Roman"/>
          <w:color w:val="333333"/>
          <w:sz w:val="24"/>
          <w:szCs w:val="24"/>
        </w:rPr>
        <w:t>Organizational assessment for the readiness to change.</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The organization should weigh its capability to carry out the change. If it finds out that there are enough resources to carry out the change then they can go ahead to implement it.</w:t>
      </w:r>
    </w:p>
    <w:p w:rsidR="00653D8D" w:rsidRPr="00653D8D" w:rsidRDefault="00653D8D" w:rsidP="00653D8D">
      <w:pPr>
        <w:numPr>
          <w:ilvl w:val="0"/>
          <w:numId w:val="2"/>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Communication of the change</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There should be a formal communication to all team members of the intention to implement a change in the organization.</w:t>
      </w:r>
    </w:p>
    <w:p w:rsidR="00653D8D" w:rsidRPr="00653D8D" w:rsidRDefault="00653D8D" w:rsidP="00653D8D">
      <w:pPr>
        <w:numPr>
          <w:ilvl w:val="0"/>
          <w:numId w:val="3"/>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Sponsor activities and sponsor roadmaps</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This </w:t>
      </w:r>
      <w:proofErr w:type="gramStart"/>
      <w:r w:rsidRPr="00653D8D">
        <w:rPr>
          <w:rFonts w:ascii="Times New Roman" w:eastAsia="Times New Roman" w:hAnsi="Times New Roman" w:cs="Times New Roman"/>
          <w:color w:val="44505D"/>
          <w:sz w:val="24"/>
          <w:szCs w:val="24"/>
        </w:rPr>
        <w:t>has to</w:t>
      </w:r>
      <w:proofErr w:type="gramEnd"/>
      <w:r w:rsidRPr="00653D8D">
        <w:rPr>
          <w:rFonts w:ascii="Times New Roman" w:eastAsia="Times New Roman" w:hAnsi="Times New Roman" w:cs="Times New Roman"/>
          <w:color w:val="44505D"/>
          <w:sz w:val="24"/>
          <w:szCs w:val="24"/>
        </w:rPr>
        <w:t xml:space="preserve"> do with the management getting directly involved in the daily activities of the implementation process. The management should give the relevant direction of how the process will be carried out.</w:t>
      </w:r>
    </w:p>
    <w:p w:rsidR="00653D8D" w:rsidRPr="00653D8D" w:rsidRDefault="00653D8D" w:rsidP="00653D8D">
      <w:pPr>
        <w:numPr>
          <w:ilvl w:val="0"/>
          <w:numId w:val="4"/>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Manager training</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lastRenderedPageBreak/>
        <w:t>The managers should undergo some training to anticipate and deal with the change effectively. They should find consultation guidance on how to carry the activities ahead of them. They can also benchmark with a company that previously implemented change successfully.</w:t>
      </w:r>
    </w:p>
    <w:p w:rsidR="00653D8D" w:rsidRPr="00653D8D" w:rsidRDefault="00653D8D" w:rsidP="00653D8D">
      <w:pPr>
        <w:numPr>
          <w:ilvl w:val="0"/>
          <w:numId w:val="5"/>
        </w:numPr>
        <w:shd w:val="clear" w:color="auto" w:fill="FFFFFF"/>
        <w:bidi w:val="0"/>
        <w:spacing w:after="0" w:line="240" w:lineRule="auto"/>
        <w:ind w:right="720"/>
        <w:rPr>
          <w:rFonts w:ascii="Tahoma" w:eastAsia="Times New Roman" w:hAnsi="Tahoma" w:cs="Tahoma"/>
          <w:color w:val="333333"/>
          <w:sz w:val="18"/>
          <w:szCs w:val="18"/>
        </w:rPr>
      </w:pPr>
      <w:r w:rsidRPr="00653D8D">
        <w:rPr>
          <w:rFonts w:ascii="Times New Roman" w:eastAsia="Times New Roman" w:hAnsi="Times New Roman" w:cs="Times New Roman"/>
          <w:color w:val="333333"/>
          <w:sz w:val="14"/>
          <w:szCs w:val="14"/>
        </w:rPr>
        <w:t> </w:t>
      </w:r>
      <w:r w:rsidRPr="00653D8D">
        <w:rPr>
          <w:rFonts w:ascii="Times New Roman" w:eastAsia="Times New Roman" w:hAnsi="Times New Roman" w:cs="Times New Roman"/>
          <w:color w:val="333333"/>
          <w:sz w:val="24"/>
          <w:szCs w:val="24"/>
        </w:rPr>
        <w:t>Employee training.</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There should be an intensive training of all employees on the new change to impact them with the skills they need to cope with the change. It also gives them confidence thus reducing resistance to change.</w:t>
      </w:r>
    </w:p>
    <w:p w:rsidR="00653D8D" w:rsidRPr="00653D8D" w:rsidRDefault="00653D8D" w:rsidP="00653D8D">
      <w:pPr>
        <w:numPr>
          <w:ilvl w:val="0"/>
          <w:numId w:val="6"/>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Resistance management</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This is finding a way of reducing the chances that employees won’t be happy about the change and may fail to implement it as expected. This can be through promising rewards and positive reinforcement and show them the importance of having the change in place.</w:t>
      </w:r>
    </w:p>
    <w:p w:rsidR="00653D8D" w:rsidRPr="00653D8D" w:rsidRDefault="00653D8D" w:rsidP="00653D8D">
      <w:pPr>
        <w:numPr>
          <w:ilvl w:val="0"/>
          <w:numId w:val="7"/>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Feedback and performance evaluation.</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This is carrying out an evaluation to determine how effective the change has been implemented so that corrective measures can be taken where necessary.</w:t>
      </w:r>
    </w:p>
    <w:p w:rsidR="00653D8D" w:rsidRPr="00653D8D" w:rsidRDefault="00653D8D" w:rsidP="00653D8D">
      <w:pPr>
        <w:numPr>
          <w:ilvl w:val="0"/>
          <w:numId w:val="8"/>
        </w:numPr>
        <w:shd w:val="clear" w:color="auto" w:fill="FFFFFF"/>
        <w:bidi w:val="0"/>
        <w:spacing w:after="0" w:line="240" w:lineRule="auto"/>
        <w:ind w:right="720"/>
        <w:rPr>
          <w:rFonts w:ascii="Tahoma" w:eastAsia="Times New Roman" w:hAnsi="Tahoma" w:cs="Tahoma"/>
          <w:color w:val="333333"/>
          <w:sz w:val="18"/>
          <w:szCs w:val="18"/>
        </w:rPr>
      </w:pPr>
      <w:r w:rsidRPr="00653D8D">
        <w:rPr>
          <w:rFonts w:ascii="Tahoma" w:eastAsia="Times New Roman" w:hAnsi="Tahoma" w:cs="Tahoma"/>
          <w:color w:val="333333"/>
          <w:sz w:val="18"/>
          <w:szCs w:val="18"/>
        </w:rPr>
        <w:t>Celebrate and recognize success.</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If well implemented there should be a way of appreciating the team involved in the success of the change implementation. This encourages and motivates them to work better in the future.</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I worked in a company there was a necessity to implementing technological changes in the customer record keeping. We were required to change from manual record keeping to using databases. The above-described process was used and there was a very great improvement on operational efficiency. Work became easier and we began to enjoy it as less time was taken to access customer records.</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References.</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hyperlink r:id="rId8" w:anchor="sponsorship" w:history="1">
        <w:r w:rsidRPr="00653D8D">
          <w:rPr>
            <w:rFonts w:ascii="Times New Roman" w:eastAsia="Times New Roman" w:hAnsi="Times New Roman" w:cs="Times New Roman"/>
            <w:color w:val="5388C2"/>
            <w:sz w:val="24"/>
            <w:szCs w:val="24"/>
            <w:u w:val="single"/>
          </w:rPr>
          <w:t>https://www.prosci.com/change-management/thought-leadership-library/change-management-process#sponsorship</w:t>
        </w:r>
      </w:hyperlink>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www.strategy-business.com/article/00255?gko=9d35b</w:t>
      </w:r>
    </w:p>
    <w:p w:rsidR="00653D8D" w:rsidRDefault="00653D8D" w:rsidP="00653D8D">
      <w:pPr>
        <w:jc w:val="right"/>
      </w:pPr>
    </w:p>
    <w:p w:rsidR="00653D8D" w:rsidRDefault="00653D8D" w:rsidP="00653D8D">
      <w:pPr>
        <w:jc w:val="right"/>
      </w:pPr>
      <w:proofErr w:type="gramStart"/>
      <w:r>
        <w:t>comment :</w:t>
      </w:r>
      <w:proofErr w:type="gramEnd"/>
      <w:r>
        <w:t xml:space="preserve"> </w:t>
      </w: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rPr>
          <w:rFonts w:hint="cs"/>
        </w:rPr>
      </w:pPr>
    </w:p>
    <w:p w:rsidR="00653D8D" w:rsidRDefault="00653D8D" w:rsidP="00653D8D">
      <w:pPr>
        <w:jc w:val="right"/>
        <w:rPr>
          <w:rFonts w:hint="cs"/>
          <w:rtl/>
        </w:rPr>
      </w:pPr>
      <w:r>
        <w:lastRenderedPageBreak/>
        <w:t>Post4</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Hi all,</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Change is a fundamental human experience, and as such it provokes fundamental human reactions. Change—be it good or bad, wished for or imposed—represents loss. Loss is an unconditioned response to the predictable becoming unpredictable and to the known becoming unknown. This terrifying threat triggers atavist emotions that activate complex and interwoven cognitive and behavioral dynamics that are the source of individual resistance to change and the key to productively managing it.</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This stream of reasoning brings into sharp relief that the research and practice of organizational change adhere to the following axioms. First, any examination of resistance to change must start with the individual. Organizations don’t resist change, people do. Second, people react not to the change per se, but to the loss that change represents. Third, loss engenders a deeply rooted peril response that is largely emotional in nature. And fourth, mapping multilayered affective, cognitive, and behavioral forces is necessary to unravel successful change initiatives.</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TOP 12 TYPICAL REASONS FOR RESISTANCE TO CHANGE</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Misunderstanding about the need for change/when the reason for the change is unclear — If staff do not understand the need for change you can expect resistance. Especially from those who strongly believe the current way of doing things works well…and has done for twenty years!</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Fear of the unknown — One of the most common reasons for resistance is fear of the unknown. People will only take active steps toward the unknown if they genuinely believe – and perhaps more importantly, </w:t>
      </w:r>
      <w:hyperlink r:id="rId9" w:tgtFrame="_blank" w:tooltip="Change management require that people feel the problem" w:history="1">
        <w:r w:rsidRPr="00653D8D">
          <w:rPr>
            <w:rFonts w:ascii="Times New Roman" w:eastAsia="Times New Roman" w:hAnsi="Times New Roman" w:cs="Times New Roman"/>
            <w:color w:val="5388C2"/>
            <w:sz w:val="24"/>
            <w:szCs w:val="24"/>
            <w:u w:val="single"/>
          </w:rPr>
          <w:t>feel</w:t>
        </w:r>
      </w:hyperlink>
      <w:r w:rsidRPr="00653D8D">
        <w:rPr>
          <w:rFonts w:ascii="Times New Roman" w:eastAsia="Times New Roman" w:hAnsi="Times New Roman" w:cs="Times New Roman"/>
          <w:color w:val="44505D"/>
          <w:sz w:val="24"/>
          <w:szCs w:val="24"/>
        </w:rPr>
        <w:t> – that the risks of standing still are greater than those of moving forward in a new direction</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Lack of competence — This is a fear people will seldom admit. But sometimes, change in organizations necessitates changes in skills, and some people will feel that they won’t be able to make the transition very well</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Connected to the old way — If you ask people in an organization to do things in a new way, as rational as that new way may seem to you, you will be setting yourself up against all that hard wiring, all those emotional connections to those who taught your audience the old way – and that’s not trivial</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Low trust — When people don’t believe that they, or the company, can competently manage the change there is likely to be resistance</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Temporary fad — When people belief that the change initiative is a temporary fad</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Not being consulted — If people </w:t>
      </w:r>
      <w:proofErr w:type="gramStart"/>
      <w:r w:rsidRPr="00653D8D">
        <w:rPr>
          <w:rFonts w:ascii="Times New Roman" w:eastAsia="Times New Roman" w:hAnsi="Times New Roman" w:cs="Times New Roman"/>
          <w:color w:val="44505D"/>
          <w:sz w:val="24"/>
          <w:szCs w:val="24"/>
        </w:rPr>
        <w:t>are allowed to</w:t>
      </w:r>
      <w:proofErr w:type="gramEnd"/>
      <w:r w:rsidRPr="00653D8D">
        <w:rPr>
          <w:rFonts w:ascii="Times New Roman" w:eastAsia="Times New Roman" w:hAnsi="Times New Roman" w:cs="Times New Roman"/>
          <w:color w:val="44505D"/>
          <w:sz w:val="24"/>
          <w:szCs w:val="24"/>
        </w:rPr>
        <w:t xml:space="preserve"> be part of the change there is less resistance. People like to know what’s going on, especially if their jobs may be affected. </w:t>
      </w:r>
      <w:hyperlink r:id="rId10" w:tgtFrame="_blank" w:tooltip="Improving performance through transparency" w:history="1">
        <w:r w:rsidRPr="00653D8D">
          <w:rPr>
            <w:rFonts w:ascii="Times New Roman" w:eastAsia="Times New Roman" w:hAnsi="Times New Roman" w:cs="Times New Roman"/>
            <w:color w:val="5388C2"/>
            <w:sz w:val="24"/>
            <w:szCs w:val="24"/>
            <w:u w:val="single"/>
          </w:rPr>
          <w:t>Informed employees</w:t>
        </w:r>
      </w:hyperlink>
      <w:r w:rsidRPr="00653D8D">
        <w:rPr>
          <w:rFonts w:ascii="Times New Roman" w:eastAsia="Times New Roman" w:hAnsi="Times New Roman" w:cs="Times New Roman"/>
          <w:color w:val="44505D"/>
          <w:sz w:val="24"/>
          <w:szCs w:val="24"/>
        </w:rPr>
        <w:t> tend to have higher levels of job satisfaction than uninformed employees</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Poor communication — It’s </w:t>
      </w:r>
      <w:proofErr w:type="gramStart"/>
      <w:r w:rsidRPr="00653D8D">
        <w:rPr>
          <w:rFonts w:ascii="Times New Roman" w:eastAsia="Times New Roman" w:hAnsi="Times New Roman" w:cs="Times New Roman"/>
          <w:color w:val="44505D"/>
          <w:sz w:val="24"/>
          <w:szCs w:val="24"/>
        </w:rPr>
        <w:t>self-evident</w:t>
      </w:r>
      <w:proofErr w:type="gramEnd"/>
      <w:r w:rsidRPr="00653D8D">
        <w:rPr>
          <w:rFonts w:ascii="Times New Roman" w:eastAsia="Times New Roman" w:hAnsi="Times New Roman" w:cs="Times New Roman"/>
          <w:color w:val="44505D"/>
          <w:sz w:val="24"/>
          <w:szCs w:val="24"/>
        </w:rPr>
        <w:t xml:space="preserve"> isn’t it? When it comes to change management there’s no such thing as too much </w:t>
      </w:r>
      <w:hyperlink r:id="rId11" w:tgtFrame="_blank" w:tooltip="Communication is paramount when it comes to change management" w:history="1">
        <w:r w:rsidRPr="00653D8D">
          <w:rPr>
            <w:rFonts w:ascii="Times New Roman" w:eastAsia="Times New Roman" w:hAnsi="Times New Roman" w:cs="Times New Roman"/>
            <w:color w:val="5388C2"/>
            <w:sz w:val="24"/>
            <w:szCs w:val="24"/>
            <w:u w:val="single"/>
          </w:rPr>
          <w:t>communication</w:t>
        </w:r>
      </w:hyperlink>
      <w:r w:rsidRPr="00653D8D">
        <w:rPr>
          <w:rFonts w:ascii="Times New Roman" w:eastAsia="Times New Roman" w:hAnsi="Times New Roman" w:cs="Times New Roman"/>
          <w:color w:val="44505D"/>
          <w:sz w:val="24"/>
          <w:szCs w:val="24"/>
        </w:rPr>
        <w:t>.</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Changes to routines — When we talk about comfort zones we’re really referring to routines. We love them. They make us secure. </w:t>
      </w:r>
      <w:proofErr w:type="gramStart"/>
      <w:r w:rsidRPr="00653D8D">
        <w:rPr>
          <w:rFonts w:ascii="Times New Roman" w:eastAsia="Times New Roman" w:hAnsi="Times New Roman" w:cs="Times New Roman"/>
          <w:color w:val="44505D"/>
          <w:sz w:val="24"/>
          <w:szCs w:val="24"/>
        </w:rPr>
        <w:t>So</w:t>
      </w:r>
      <w:proofErr w:type="gramEnd"/>
      <w:r w:rsidRPr="00653D8D">
        <w:rPr>
          <w:rFonts w:ascii="Times New Roman" w:eastAsia="Times New Roman" w:hAnsi="Times New Roman" w:cs="Times New Roman"/>
          <w:color w:val="44505D"/>
          <w:sz w:val="24"/>
          <w:szCs w:val="24"/>
        </w:rPr>
        <w:t xml:space="preserve"> there’s bound to be resistance whenever change requires us to do things differently.</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Exhaustion/Saturation — Don’t mistake compliance for acceptance. People who are overwhelmed by continuous change resign themselves to it and go along with the flow. You have them in body, but you do not have their hearts. Motivation is low</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Change in the status quo — Resistance can also stem from perceptions of the change that people hold. For example, people who feel they’ll be worse off at the end of the change are unlikely to give it their full support. Similarly, if people believe the change </w:t>
      </w:r>
      <w:proofErr w:type="spellStart"/>
      <w:r w:rsidRPr="00653D8D">
        <w:rPr>
          <w:rFonts w:ascii="Times New Roman" w:eastAsia="Times New Roman" w:hAnsi="Times New Roman" w:cs="Times New Roman"/>
          <w:color w:val="44505D"/>
          <w:sz w:val="24"/>
          <w:szCs w:val="24"/>
        </w:rPr>
        <w:lastRenderedPageBreak/>
        <w:t>favours</w:t>
      </w:r>
      <w:proofErr w:type="spellEnd"/>
      <w:r w:rsidRPr="00653D8D">
        <w:rPr>
          <w:rFonts w:ascii="Times New Roman" w:eastAsia="Times New Roman" w:hAnsi="Times New Roman" w:cs="Times New Roman"/>
          <w:color w:val="44505D"/>
          <w:sz w:val="24"/>
          <w:szCs w:val="24"/>
        </w:rPr>
        <w:t xml:space="preserve"> another group/department/person there may be (unspoken) anger and resentment</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Benefits and rewards — When the benefits and rewards for making the change are not seen as adequate for the trouble involved.</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Reference:      </w:t>
      </w:r>
    </w:p>
    <w:p w:rsidR="00653D8D" w:rsidRPr="00653D8D" w:rsidRDefault="00653D8D" w:rsidP="00653D8D">
      <w:pPr>
        <w:shd w:val="clear" w:color="auto" w:fill="FFFFFF"/>
        <w:bidi w:val="0"/>
        <w:spacing w:after="0" w:line="270" w:lineRule="atLeast"/>
        <w:ind w:firstLine="72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hyperlink r:id="rId12" w:history="1">
        <w:r w:rsidRPr="00653D8D">
          <w:rPr>
            <w:rFonts w:ascii="Times New Roman" w:eastAsia="Times New Roman" w:hAnsi="Times New Roman" w:cs="Times New Roman"/>
            <w:color w:val="5388C2"/>
            <w:sz w:val="24"/>
            <w:szCs w:val="24"/>
            <w:u w:val="single"/>
          </w:rPr>
          <w:t>James R. Bailey</w:t>
        </w:r>
      </w:hyperlink>
      <w:r w:rsidRPr="00653D8D">
        <w:rPr>
          <w:rFonts w:ascii="Times New Roman" w:eastAsia="Times New Roman" w:hAnsi="Times New Roman" w:cs="Times New Roman"/>
          <w:color w:val="44505D"/>
          <w:sz w:val="24"/>
          <w:szCs w:val="24"/>
        </w:rPr>
        <w:t> (15 Oct 2015). Organizations Don’t Resist Change, People Do: Modeling Individual Reactions to Organizational Change Through Loss and Terror Management. </w:t>
      </w:r>
      <w:hyperlink r:id="rId13" w:history="1">
        <w:r w:rsidRPr="00653D8D">
          <w:rPr>
            <w:rFonts w:ascii="Times New Roman" w:eastAsia="Times New Roman" w:hAnsi="Times New Roman" w:cs="Times New Roman"/>
            <w:color w:val="5388C2"/>
            <w:sz w:val="24"/>
            <w:szCs w:val="24"/>
            <w:u w:val="single"/>
          </w:rPr>
          <w:t>Organization Management Journal </w:t>
        </w:r>
      </w:hyperlink>
      <w:r w:rsidRPr="00653D8D">
        <w:rPr>
          <w:rFonts w:ascii="Times New Roman" w:eastAsia="Times New Roman" w:hAnsi="Times New Roman" w:cs="Times New Roman"/>
          <w:color w:val="44505D"/>
          <w:sz w:val="24"/>
          <w:szCs w:val="24"/>
        </w:rPr>
        <w:t>. Volume 12, 2015 - </w:t>
      </w:r>
      <w:hyperlink r:id="rId14" w:history="1">
        <w:r w:rsidRPr="00653D8D">
          <w:rPr>
            <w:rFonts w:ascii="Times New Roman" w:eastAsia="Times New Roman" w:hAnsi="Times New Roman" w:cs="Times New Roman"/>
            <w:color w:val="5388C2"/>
            <w:sz w:val="24"/>
            <w:szCs w:val="24"/>
            <w:u w:val="single"/>
          </w:rPr>
          <w:t>Issue 3</w:t>
        </w:r>
      </w:hyperlink>
    </w:p>
    <w:p w:rsidR="00653D8D" w:rsidRPr="00653D8D" w:rsidRDefault="00653D8D" w:rsidP="00653D8D">
      <w:pPr>
        <w:shd w:val="clear" w:color="auto" w:fill="FFFFFF"/>
        <w:bidi w:val="0"/>
        <w:spacing w:after="0" w:line="270" w:lineRule="atLeast"/>
        <w:ind w:firstLine="72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Torben </w:t>
      </w:r>
      <w:proofErr w:type="gramStart"/>
      <w:r w:rsidRPr="00653D8D">
        <w:rPr>
          <w:rFonts w:ascii="Times New Roman" w:eastAsia="Times New Roman" w:hAnsi="Times New Roman" w:cs="Times New Roman"/>
          <w:color w:val="44505D"/>
          <w:sz w:val="24"/>
          <w:szCs w:val="24"/>
        </w:rPr>
        <w:t>Rick.(</w:t>
      </w:r>
      <w:proofErr w:type="gramEnd"/>
      <w:r w:rsidRPr="00653D8D">
        <w:rPr>
          <w:rFonts w:ascii="Times New Roman" w:eastAsia="Times New Roman" w:hAnsi="Times New Roman" w:cs="Times New Roman"/>
          <w:color w:val="44505D"/>
          <w:sz w:val="24"/>
          <w:szCs w:val="24"/>
        </w:rPr>
        <w:t xml:space="preserve"> MAY 23, 2011) ORGANIZATIONAL CHANGE – REASONS WHY PEOPLE RESIST CHANGE. https://www.torbenrick.eu/blog/change-management/12-reasons-why-people-resist-change/</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p>
    <w:p w:rsidR="00653D8D" w:rsidRPr="00653D8D" w:rsidRDefault="00653D8D" w:rsidP="00653D8D">
      <w:pPr>
        <w:shd w:val="clear" w:color="auto" w:fill="FFFFFF"/>
        <w:bidi w:val="0"/>
        <w:spacing w:after="0" w:line="27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w:t>
      </w:r>
    </w:p>
    <w:p w:rsidR="00653D8D" w:rsidRDefault="00653D8D" w:rsidP="00653D8D">
      <w:pPr>
        <w:jc w:val="right"/>
        <w:rPr>
          <w:rFonts w:hint="cs"/>
          <w:rtl/>
        </w:rPr>
      </w:pPr>
      <w:proofErr w:type="gramStart"/>
      <w:r>
        <w:t>Comment :</w:t>
      </w:r>
      <w:proofErr w:type="gramEnd"/>
    </w:p>
    <w:p w:rsidR="00653D8D" w:rsidRDefault="00653D8D" w:rsidP="00653D8D">
      <w:pPr>
        <w:jc w:val="right"/>
      </w:pPr>
    </w:p>
    <w:p w:rsidR="00653D8D" w:rsidRDefault="00653D8D" w:rsidP="00653D8D">
      <w:pPr>
        <w:jc w:val="right"/>
        <w:rPr>
          <w:rFonts w:hint="cs"/>
        </w:rPr>
      </w:pPr>
    </w:p>
    <w:p w:rsidR="00653D8D" w:rsidRDefault="00653D8D" w:rsidP="00653D8D">
      <w:pPr>
        <w:jc w:val="right"/>
        <w:rPr>
          <w:rtl/>
        </w:rPr>
      </w:pPr>
    </w:p>
    <w:p w:rsidR="00653D8D" w:rsidRDefault="00653D8D" w:rsidP="00653D8D">
      <w:pPr>
        <w:jc w:val="right"/>
        <w:rPr>
          <w:rtl/>
        </w:rPr>
      </w:pPr>
    </w:p>
    <w:p w:rsidR="00653D8D" w:rsidRDefault="00653D8D" w:rsidP="00653D8D">
      <w:pPr>
        <w:jc w:val="right"/>
        <w:rPr>
          <w:rtl/>
        </w:rPr>
      </w:pPr>
    </w:p>
    <w:p w:rsidR="00653D8D" w:rsidRDefault="00653D8D" w:rsidP="00653D8D">
      <w:pPr>
        <w:jc w:val="right"/>
        <w:rPr>
          <w:rFonts w:hint="cs"/>
          <w:rtl/>
        </w:rPr>
      </w:pPr>
      <w:r>
        <w:t>Post5</w:t>
      </w:r>
    </w:p>
    <w:p w:rsidR="00653D8D" w:rsidRPr="00653D8D" w:rsidRDefault="00653D8D" w:rsidP="00653D8D">
      <w:pPr>
        <w:shd w:val="clear" w:color="auto" w:fill="FFFFFF"/>
        <w:bidi w:val="0"/>
        <w:spacing w:after="0" w:line="240" w:lineRule="auto"/>
        <w:jc w:val="center"/>
        <w:rPr>
          <w:rFonts w:ascii="Tahoma" w:eastAsia="Times New Roman" w:hAnsi="Tahoma" w:cs="Tahoma"/>
          <w:color w:val="44505D"/>
          <w:sz w:val="18"/>
          <w:szCs w:val="18"/>
        </w:rPr>
      </w:pPr>
      <w:r w:rsidRPr="00653D8D">
        <w:rPr>
          <w:rFonts w:ascii="Times New Roman" w:eastAsia="Times New Roman" w:hAnsi="Times New Roman" w:cs="Times New Roman"/>
          <w:b/>
          <w:bCs/>
          <w:color w:val="44505D"/>
          <w:sz w:val="24"/>
          <w:szCs w:val="24"/>
        </w:rPr>
        <w:t>Supply Chain Issues in Saudi Aramco</w:t>
      </w:r>
    </w:p>
    <w:p w:rsidR="00653D8D" w:rsidRPr="00653D8D" w:rsidRDefault="00653D8D" w:rsidP="00653D8D">
      <w:pPr>
        <w:shd w:val="clear" w:color="auto" w:fill="FFFFFF"/>
        <w:bidi w:val="0"/>
        <w:spacing w:after="0" w:line="360" w:lineRule="atLeast"/>
        <w:ind w:firstLine="36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There is an interchangeably relationship between operations and supply chains where business would not exist without them. Through external and internal activities of supply chains operations can complete their processes such as supplement of raw materials (Stevenson, 2015). Saudi Aramco is one of the largest global companies which support the stability of global economy. Its activities are producing petroleum products such as gas and oil in addition to attributing in energy generation. So, its operations concentrate on petroleum production that involve many other activities and facilitated by other functions especially supply chain (Saudi Aramco Annual Review, 2014). Obviously, the business model of Saudi Aramco is interrelated to its nature of activities as petroleum operations which one of its strategies is environmental sustainability and human safety (Saudi Aramco Corporate Citizenship Report, 2011).   </w:t>
      </w:r>
    </w:p>
    <w:p w:rsidR="00653D8D" w:rsidRPr="00653D8D" w:rsidRDefault="00653D8D" w:rsidP="00653D8D">
      <w:pPr>
        <w:shd w:val="clear" w:color="auto" w:fill="FFFFFF"/>
        <w:bidi w:val="0"/>
        <w:spacing w:after="0" w:line="360" w:lineRule="atLeast"/>
        <w:ind w:firstLine="36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Organizations whether small or large are normally face some issues while running their supply chain activities. One of these issues is complexity of supply chain (</w:t>
      </w:r>
      <w:proofErr w:type="spellStart"/>
      <w:r w:rsidRPr="00653D8D">
        <w:rPr>
          <w:rFonts w:ascii="Times New Roman" w:eastAsia="Times New Roman" w:hAnsi="Times New Roman" w:cs="Times New Roman"/>
          <w:color w:val="44505D"/>
          <w:sz w:val="24"/>
          <w:szCs w:val="24"/>
        </w:rPr>
        <w:t>Patrica</w:t>
      </w:r>
      <w:proofErr w:type="spellEnd"/>
      <w:r w:rsidRPr="00653D8D">
        <w:rPr>
          <w:rFonts w:ascii="Times New Roman" w:eastAsia="Times New Roman" w:hAnsi="Times New Roman" w:cs="Times New Roman"/>
          <w:color w:val="44505D"/>
          <w:sz w:val="24"/>
          <w:szCs w:val="24"/>
        </w:rPr>
        <w:t xml:space="preserve">, David, &amp; John, 2016). No doubt that large petroleum company such as Saudi Aramco deal and contract with many other companies as suppliers to provide tools, equipment, drilling machines, experts engineers, and other facilities. </w:t>
      </w:r>
      <w:proofErr w:type="gramStart"/>
      <w:r w:rsidRPr="00653D8D">
        <w:rPr>
          <w:rFonts w:ascii="Times New Roman" w:eastAsia="Times New Roman" w:hAnsi="Times New Roman" w:cs="Times New Roman"/>
          <w:color w:val="44505D"/>
          <w:sz w:val="24"/>
          <w:szCs w:val="24"/>
        </w:rPr>
        <w:t>So</w:t>
      </w:r>
      <w:proofErr w:type="gramEnd"/>
      <w:r w:rsidRPr="00653D8D">
        <w:rPr>
          <w:rFonts w:ascii="Times New Roman" w:eastAsia="Times New Roman" w:hAnsi="Times New Roman" w:cs="Times New Roman"/>
          <w:color w:val="44505D"/>
          <w:sz w:val="24"/>
          <w:szCs w:val="24"/>
        </w:rPr>
        <w:t xml:space="preserve"> it encounters </w:t>
      </w:r>
      <w:r w:rsidRPr="00653D8D">
        <w:rPr>
          <w:rFonts w:ascii="Times New Roman" w:eastAsia="Times New Roman" w:hAnsi="Times New Roman" w:cs="Times New Roman"/>
          <w:color w:val="44505D"/>
          <w:sz w:val="24"/>
          <w:szCs w:val="24"/>
        </w:rPr>
        <w:lastRenderedPageBreak/>
        <w:t>lots of complexities in providing those facilities and while transporting or exporting its products. However, creating a good operations strategy and successful planning could make Saudi Aramco come over all difficulties and issues (Saudi Aramco Annual Review, 2015).    </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References</w:t>
      </w:r>
    </w:p>
    <w:p w:rsidR="00653D8D" w:rsidRPr="00653D8D" w:rsidRDefault="00653D8D" w:rsidP="00653D8D">
      <w:pPr>
        <w:shd w:val="clear" w:color="auto" w:fill="FFFFFF"/>
        <w:bidi w:val="0"/>
        <w:spacing w:after="0" w:line="360" w:lineRule="atLeast"/>
        <w:ind w:left="720" w:hanging="72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 xml:space="preserve">David, J., John, </w:t>
      </w:r>
      <w:proofErr w:type="gramStart"/>
      <w:r w:rsidRPr="00653D8D">
        <w:rPr>
          <w:rFonts w:ascii="Times New Roman" w:eastAsia="Times New Roman" w:hAnsi="Times New Roman" w:cs="Times New Roman"/>
          <w:color w:val="44505D"/>
          <w:sz w:val="24"/>
          <w:szCs w:val="24"/>
        </w:rPr>
        <w:t>H. ,</w:t>
      </w:r>
      <w:proofErr w:type="gramEnd"/>
      <w:r w:rsidRPr="00653D8D">
        <w:rPr>
          <w:rFonts w:ascii="Times New Roman" w:eastAsia="Times New Roman" w:hAnsi="Times New Roman" w:cs="Times New Roman"/>
          <w:color w:val="44505D"/>
          <w:sz w:val="24"/>
          <w:szCs w:val="24"/>
        </w:rPr>
        <w:t xml:space="preserve"> </w:t>
      </w:r>
      <w:proofErr w:type="spellStart"/>
      <w:r w:rsidRPr="00653D8D">
        <w:rPr>
          <w:rFonts w:ascii="Times New Roman" w:eastAsia="Times New Roman" w:hAnsi="Times New Roman" w:cs="Times New Roman"/>
          <w:color w:val="44505D"/>
          <w:sz w:val="24"/>
          <w:szCs w:val="24"/>
        </w:rPr>
        <w:t>Patrica</w:t>
      </w:r>
      <w:proofErr w:type="spellEnd"/>
      <w:r w:rsidRPr="00653D8D">
        <w:rPr>
          <w:rFonts w:ascii="Times New Roman" w:eastAsia="Times New Roman" w:hAnsi="Times New Roman" w:cs="Times New Roman"/>
          <w:color w:val="44505D"/>
          <w:sz w:val="24"/>
          <w:szCs w:val="24"/>
        </w:rPr>
        <w:t xml:space="preserve">, J. (2016). Supply Chain Issues: What's Keeping Supply Chain Managers Awake at </w:t>
      </w:r>
      <w:proofErr w:type="gramStart"/>
      <w:r w:rsidRPr="00653D8D">
        <w:rPr>
          <w:rFonts w:ascii="Times New Roman" w:eastAsia="Times New Roman" w:hAnsi="Times New Roman" w:cs="Times New Roman"/>
          <w:color w:val="44505D"/>
          <w:sz w:val="24"/>
          <w:szCs w:val="24"/>
        </w:rPr>
        <w:t>Night?.</w:t>
      </w:r>
      <w:proofErr w:type="gramEnd"/>
      <w:r w:rsidRPr="00653D8D">
        <w:rPr>
          <w:rFonts w:ascii="Times New Roman" w:eastAsia="Times New Roman" w:hAnsi="Times New Roman" w:cs="Times New Roman"/>
          <w:color w:val="44505D"/>
          <w:sz w:val="24"/>
          <w:szCs w:val="24"/>
        </w:rPr>
        <w:t> </w:t>
      </w:r>
      <w:r w:rsidRPr="00653D8D">
        <w:rPr>
          <w:rFonts w:ascii="Times New Roman" w:eastAsia="Times New Roman" w:hAnsi="Times New Roman" w:cs="Times New Roman"/>
          <w:i/>
          <w:iCs/>
          <w:color w:val="44505D"/>
          <w:sz w:val="24"/>
          <w:szCs w:val="24"/>
        </w:rPr>
        <w:t>Supply Chain Management: Beyond the Horizon.</w:t>
      </w:r>
    </w:p>
    <w:p w:rsidR="00653D8D" w:rsidRPr="00653D8D" w:rsidRDefault="00653D8D" w:rsidP="00653D8D">
      <w:pPr>
        <w:shd w:val="clear" w:color="auto" w:fill="FFFFFF"/>
        <w:bidi w:val="0"/>
        <w:spacing w:after="0" w:line="360" w:lineRule="atLeast"/>
        <w:ind w:left="720" w:hanging="72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Saudi Aramco Corporate Citizenship Report. (2011). </w:t>
      </w:r>
      <w:r w:rsidRPr="00653D8D">
        <w:rPr>
          <w:rFonts w:ascii="Times New Roman" w:eastAsia="Times New Roman" w:hAnsi="Times New Roman" w:cs="Times New Roman"/>
          <w:i/>
          <w:iCs/>
          <w:color w:val="44505D"/>
          <w:sz w:val="24"/>
          <w:szCs w:val="24"/>
        </w:rPr>
        <w:t>Aiming Higher</w:t>
      </w:r>
      <w:r w:rsidRPr="00653D8D">
        <w:rPr>
          <w:rFonts w:ascii="Times New Roman" w:eastAsia="Times New Roman" w:hAnsi="Times New Roman" w:cs="Times New Roman"/>
          <w:color w:val="44505D"/>
          <w:sz w:val="24"/>
          <w:szCs w:val="24"/>
        </w:rPr>
        <w:t>.  </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Saudi Aramco Annual Report. (2014). </w:t>
      </w:r>
      <w:r w:rsidRPr="00653D8D">
        <w:rPr>
          <w:rFonts w:ascii="Times New Roman" w:eastAsia="Times New Roman" w:hAnsi="Times New Roman" w:cs="Times New Roman"/>
          <w:i/>
          <w:iCs/>
          <w:color w:val="44505D"/>
          <w:sz w:val="24"/>
          <w:szCs w:val="24"/>
        </w:rPr>
        <w:t>Energy.</w:t>
      </w:r>
    </w:p>
    <w:p w:rsidR="00653D8D" w:rsidRPr="00653D8D" w:rsidRDefault="00653D8D" w:rsidP="00653D8D">
      <w:pPr>
        <w:shd w:val="clear" w:color="auto" w:fill="FFFFFF"/>
        <w:bidi w:val="0"/>
        <w:spacing w:after="0" w:line="360" w:lineRule="atLeast"/>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Saudi Aramco Annual Report. (2015). </w:t>
      </w:r>
      <w:r w:rsidRPr="00653D8D">
        <w:rPr>
          <w:rFonts w:ascii="Times New Roman" w:eastAsia="Times New Roman" w:hAnsi="Times New Roman" w:cs="Times New Roman"/>
          <w:i/>
          <w:iCs/>
          <w:color w:val="44505D"/>
          <w:sz w:val="24"/>
          <w:szCs w:val="24"/>
        </w:rPr>
        <w:t>Energy is Opportunity.</w:t>
      </w:r>
    </w:p>
    <w:p w:rsidR="00653D8D" w:rsidRPr="00653D8D" w:rsidRDefault="00653D8D" w:rsidP="00653D8D">
      <w:pPr>
        <w:shd w:val="clear" w:color="auto" w:fill="FFFFFF"/>
        <w:bidi w:val="0"/>
        <w:spacing w:after="0" w:line="360" w:lineRule="atLeast"/>
        <w:ind w:left="720" w:hanging="720"/>
        <w:rPr>
          <w:rFonts w:ascii="Tahoma" w:eastAsia="Times New Roman" w:hAnsi="Tahoma" w:cs="Tahoma"/>
          <w:color w:val="44505D"/>
          <w:sz w:val="18"/>
          <w:szCs w:val="18"/>
        </w:rPr>
      </w:pPr>
      <w:r w:rsidRPr="00653D8D">
        <w:rPr>
          <w:rFonts w:ascii="Times New Roman" w:eastAsia="Times New Roman" w:hAnsi="Times New Roman" w:cs="Times New Roman"/>
          <w:color w:val="44505D"/>
          <w:sz w:val="24"/>
          <w:szCs w:val="24"/>
        </w:rPr>
        <w:t>Stevenson, W, J. (2015). </w:t>
      </w:r>
      <w:r w:rsidRPr="00653D8D">
        <w:rPr>
          <w:rFonts w:ascii="Times New Roman" w:eastAsia="Times New Roman" w:hAnsi="Times New Roman" w:cs="Times New Roman"/>
          <w:i/>
          <w:iCs/>
          <w:color w:val="44505D"/>
          <w:sz w:val="24"/>
          <w:szCs w:val="24"/>
        </w:rPr>
        <w:t>Operations Management</w:t>
      </w:r>
      <w:r w:rsidRPr="00653D8D">
        <w:rPr>
          <w:rFonts w:ascii="Times New Roman" w:eastAsia="Times New Roman" w:hAnsi="Times New Roman" w:cs="Times New Roman"/>
          <w:color w:val="44505D"/>
          <w:sz w:val="24"/>
          <w:szCs w:val="24"/>
        </w:rPr>
        <w:t> (12</w:t>
      </w:r>
      <w:r w:rsidRPr="00653D8D">
        <w:rPr>
          <w:rFonts w:ascii="Times New Roman" w:eastAsia="Times New Roman" w:hAnsi="Times New Roman" w:cs="Times New Roman"/>
          <w:color w:val="44505D"/>
          <w:sz w:val="24"/>
          <w:szCs w:val="24"/>
          <w:vertAlign w:val="superscript"/>
        </w:rPr>
        <w:t>th</w:t>
      </w:r>
      <w:r w:rsidRPr="00653D8D">
        <w:rPr>
          <w:rFonts w:ascii="Times New Roman" w:eastAsia="Times New Roman" w:hAnsi="Times New Roman" w:cs="Times New Roman"/>
          <w:color w:val="44505D"/>
          <w:sz w:val="24"/>
          <w:szCs w:val="24"/>
        </w:rPr>
        <w:t xml:space="preserve"> ed.). 2 Penn Plaza, New York.  McGraw- Hill </w:t>
      </w:r>
      <w:proofErr w:type="gramStart"/>
      <w:r w:rsidRPr="00653D8D">
        <w:rPr>
          <w:rFonts w:ascii="Times New Roman" w:eastAsia="Times New Roman" w:hAnsi="Times New Roman" w:cs="Times New Roman"/>
          <w:color w:val="44505D"/>
          <w:sz w:val="24"/>
          <w:szCs w:val="24"/>
        </w:rPr>
        <w:t>Education..</w:t>
      </w:r>
      <w:proofErr w:type="gramEnd"/>
      <w:r w:rsidRPr="00653D8D">
        <w:rPr>
          <w:rFonts w:ascii="Times New Roman" w:eastAsia="Times New Roman" w:hAnsi="Times New Roman" w:cs="Times New Roman"/>
          <w:color w:val="44505D"/>
          <w:sz w:val="24"/>
          <w:szCs w:val="24"/>
        </w:rPr>
        <w:t xml:space="preserve"> ISPN 978-0-07-802410-8.  </w:t>
      </w:r>
    </w:p>
    <w:p w:rsidR="00653D8D" w:rsidRDefault="00653D8D" w:rsidP="00653D8D">
      <w:pPr>
        <w:jc w:val="right"/>
      </w:pPr>
    </w:p>
    <w:p w:rsidR="00653D8D" w:rsidRDefault="00653D8D" w:rsidP="00653D8D">
      <w:pPr>
        <w:jc w:val="right"/>
      </w:pPr>
    </w:p>
    <w:p w:rsidR="00653D8D" w:rsidRDefault="00653D8D" w:rsidP="00653D8D">
      <w:pPr>
        <w:jc w:val="right"/>
      </w:pPr>
      <w:proofErr w:type="gramStart"/>
      <w:r>
        <w:t>Comment :</w:t>
      </w:r>
      <w:proofErr w:type="gramEnd"/>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pPr>
    </w:p>
    <w:p w:rsidR="00653D8D" w:rsidRDefault="00653D8D" w:rsidP="00653D8D">
      <w:pPr>
        <w:jc w:val="right"/>
        <w:rPr>
          <w:rFonts w:hint="cs"/>
          <w:rtl/>
        </w:rPr>
      </w:pPr>
      <w:r>
        <w:t>Post 6</w:t>
      </w:r>
    </w:p>
    <w:p w:rsidR="00653D8D" w:rsidRPr="00653D8D" w:rsidRDefault="00653D8D" w:rsidP="00653D8D">
      <w:pPr>
        <w:shd w:val="clear" w:color="auto" w:fill="FFFFFF"/>
        <w:bidi w:val="0"/>
        <w:spacing w:after="0" w:line="360" w:lineRule="atLeast"/>
        <w:ind w:firstLine="720"/>
        <w:rPr>
          <w:rFonts w:ascii="Tahoma" w:eastAsia="Times New Roman" w:hAnsi="Tahoma" w:cs="Tahoma"/>
          <w:color w:val="44505D"/>
          <w:sz w:val="18"/>
          <w:szCs w:val="18"/>
        </w:rPr>
      </w:pPr>
      <w:r w:rsidRPr="00653D8D">
        <w:rPr>
          <w:rFonts w:ascii="Times New Roman" w:eastAsia="Times New Roman" w:hAnsi="Times New Roman" w:cs="Times New Roman"/>
          <w:color w:val="000000"/>
          <w:sz w:val="24"/>
          <w:szCs w:val="24"/>
        </w:rPr>
        <w:t>Saudi Aramco the largest world supplier oil company is Saudi Aramco. It is the most profitable company on the earth. Since it is the most powerful oil company, it has a great impact on the world economy. Thus, a strong international relationship was built with the Kingdom of Saudi Arabia.</w:t>
      </w:r>
    </w:p>
    <w:p w:rsidR="00653D8D" w:rsidRPr="00653D8D" w:rsidRDefault="00653D8D" w:rsidP="00653D8D">
      <w:pPr>
        <w:shd w:val="clear" w:color="auto" w:fill="FFFFFF"/>
        <w:bidi w:val="0"/>
        <w:spacing w:after="0" w:line="360" w:lineRule="atLeast"/>
        <w:ind w:firstLine="720"/>
        <w:rPr>
          <w:rFonts w:ascii="Tahoma" w:eastAsia="Times New Roman" w:hAnsi="Tahoma" w:cs="Tahoma"/>
          <w:color w:val="44505D"/>
          <w:sz w:val="18"/>
          <w:szCs w:val="18"/>
        </w:rPr>
      </w:pPr>
      <w:r w:rsidRPr="00653D8D">
        <w:rPr>
          <w:rFonts w:ascii="Times New Roman" w:eastAsia="Times New Roman" w:hAnsi="Times New Roman" w:cs="Times New Roman"/>
          <w:color w:val="000000"/>
          <w:sz w:val="24"/>
          <w:szCs w:val="24"/>
        </w:rPr>
        <w:t>Today, competition in the free world oil markets by private companies, nations and even blocs of nations tends to become increasingly severe. For example, Russia has introduced into the market a complicated barter system under which profit" is merely a component of political strategy. Operating from the home base of a controlled economy in which each element is the servant of political expediency, Russia is free to apply extraordinary competitive pressures abroad. She can, in effect, sell her oil at below cost" and still show a profit on the complicated balance sheet of national economic planning.</w:t>
      </w:r>
    </w:p>
    <w:p w:rsidR="00653D8D" w:rsidRPr="00653D8D" w:rsidRDefault="00653D8D" w:rsidP="00653D8D">
      <w:pPr>
        <w:shd w:val="clear" w:color="auto" w:fill="FFFFFF"/>
        <w:bidi w:val="0"/>
        <w:spacing w:after="0" w:line="360" w:lineRule="atLeast"/>
        <w:ind w:firstLine="720"/>
        <w:rPr>
          <w:rFonts w:ascii="Tahoma" w:eastAsia="Times New Roman" w:hAnsi="Tahoma" w:cs="Tahoma"/>
          <w:color w:val="44505D"/>
          <w:sz w:val="18"/>
          <w:szCs w:val="18"/>
        </w:rPr>
      </w:pPr>
      <w:r w:rsidRPr="00653D8D">
        <w:rPr>
          <w:rFonts w:ascii="Times New Roman" w:eastAsia="Times New Roman" w:hAnsi="Times New Roman" w:cs="Times New Roman"/>
          <w:color w:val="000000"/>
          <w:sz w:val="24"/>
          <w:szCs w:val="24"/>
        </w:rPr>
        <w:t xml:space="preserve">On the other hand, Saudi Arabian Oil Co. have signed an agreement to establish a joint venture for synthetic rubber. the joint venture will gradually be able </w:t>
      </w:r>
      <w:r w:rsidRPr="00653D8D">
        <w:rPr>
          <w:rFonts w:ascii="Times New Roman" w:eastAsia="Times New Roman" w:hAnsi="Times New Roman" w:cs="Times New Roman"/>
          <w:color w:val="000000"/>
          <w:sz w:val="24"/>
          <w:szCs w:val="24"/>
        </w:rPr>
        <w:lastRenderedPageBreak/>
        <w:t>to source feedstock from Saudi Aramco on favorable terms. This access to key raw materials will improve the cost position of the joint venture and the predictability of its cash flow, which has historically been affected by the volatility of feedstock costs, such as butadiene.</w:t>
      </w:r>
    </w:p>
    <w:p w:rsidR="00653D8D" w:rsidRPr="00653D8D" w:rsidRDefault="00653D8D" w:rsidP="00653D8D">
      <w:pPr>
        <w:shd w:val="clear" w:color="auto" w:fill="FFFFFF"/>
        <w:bidi w:val="0"/>
        <w:spacing w:after="0" w:line="240" w:lineRule="auto"/>
        <w:ind w:firstLine="720"/>
        <w:rPr>
          <w:rFonts w:ascii="Tahoma" w:eastAsia="Times New Roman" w:hAnsi="Tahoma" w:cs="Tahoma"/>
          <w:color w:val="44505D"/>
          <w:sz w:val="18"/>
          <w:szCs w:val="18"/>
        </w:rPr>
      </w:pPr>
      <w:r w:rsidRPr="00653D8D">
        <w:rPr>
          <w:rFonts w:ascii="Calibri" w:eastAsia="Times New Roman" w:hAnsi="Calibri" w:cs="Tahoma"/>
          <w:color w:val="000000"/>
          <w:sz w:val="27"/>
          <w:szCs w:val="27"/>
        </w:rPr>
        <w:t> </w:t>
      </w:r>
    </w:p>
    <w:p w:rsidR="00653D8D" w:rsidRPr="00653D8D" w:rsidRDefault="00653D8D" w:rsidP="00653D8D">
      <w:pPr>
        <w:shd w:val="clear" w:color="auto" w:fill="FFFFFF"/>
        <w:bidi w:val="0"/>
        <w:spacing w:after="0" w:line="240" w:lineRule="auto"/>
        <w:ind w:firstLine="720"/>
        <w:rPr>
          <w:rFonts w:ascii="Tahoma" w:eastAsia="Times New Roman" w:hAnsi="Tahoma" w:cs="Tahoma"/>
          <w:color w:val="44505D"/>
          <w:sz w:val="18"/>
          <w:szCs w:val="18"/>
        </w:rPr>
      </w:pPr>
      <w:r w:rsidRPr="00653D8D">
        <w:rPr>
          <w:rFonts w:ascii="Times New Roman" w:eastAsia="Times New Roman" w:hAnsi="Times New Roman" w:cs="Times New Roman"/>
          <w:color w:val="222222"/>
          <w:sz w:val="24"/>
          <w:szCs w:val="24"/>
        </w:rPr>
        <w:t>Anderson Jr, I. H. (2014). </w:t>
      </w:r>
      <w:r w:rsidRPr="00653D8D">
        <w:rPr>
          <w:rFonts w:ascii="Times New Roman" w:eastAsia="Times New Roman" w:hAnsi="Times New Roman" w:cs="Times New Roman"/>
          <w:i/>
          <w:iCs/>
          <w:color w:val="222222"/>
          <w:sz w:val="24"/>
          <w:szCs w:val="24"/>
        </w:rPr>
        <w:t>Aramco, the United States, and Saudi Arabia: A study of the dynamics of foreign oil policy, 1933-1950</w:t>
      </w:r>
      <w:r w:rsidRPr="00653D8D">
        <w:rPr>
          <w:rFonts w:ascii="Times New Roman" w:eastAsia="Times New Roman" w:hAnsi="Times New Roman" w:cs="Times New Roman"/>
          <w:color w:val="222222"/>
          <w:sz w:val="24"/>
          <w:szCs w:val="24"/>
        </w:rPr>
        <w:t>. Princeton University Press.</w:t>
      </w:r>
    </w:p>
    <w:p w:rsidR="00653D8D" w:rsidRPr="00653D8D" w:rsidRDefault="00653D8D" w:rsidP="00653D8D">
      <w:pPr>
        <w:shd w:val="clear" w:color="auto" w:fill="FFFFFF"/>
        <w:bidi w:val="0"/>
        <w:spacing w:after="0" w:line="240" w:lineRule="auto"/>
        <w:ind w:firstLine="720"/>
        <w:rPr>
          <w:rFonts w:ascii="Tahoma" w:eastAsia="Times New Roman" w:hAnsi="Tahoma" w:cs="Tahoma"/>
          <w:color w:val="44505D"/>
          <w:sz w:val="18"/>
          <w:szCs w:val="18"/>
        </w:rPr>
      </w:pPr>
      <w:proofErr w:type="spellStart"/>
      <w:r w:rsidRPr="00653D8D">
        <w:rPr>
          <w:rFonts w:ascii="Times New Roman" w:eastAsia="Times New Roman" w:hAnsi="Times New Roman" w:cs="Times New Roman"/>
          <w:color w:val="000000"/>
          <w:sz w:val="24"/>
          <w:szCs w:val="24"/>
        </w:rPr>
        <w:t>rubbernews</w:t>
      </w:r>
      <w:proofErr w:type="spellEnd"/>
      <w:r w:rsidRPr="00653D8D">
        <w:rPr>
          <w:rFonts w:ascii="Times New Roman" w:eastAsia="Times New Roman" w:hAnsi="Times New Roman" w:cs="Times New Roman"/>
          <w:color w:val="000000"/>
          <w:sz w:val="24"/>
          <w:szCs w:val="24"/>
        </w:rPr>
        <w:t>. (2015). </w:t>
      </w:r>
      <w:proofErr w:type="spellStart"/>
      <w:r w:rsidRPr="00653D8D">
        <w:rPr>
          <w:rFonts w:ascii="Times New Roman" w:eastAsia="Times New Roman" w:hAnsi="Times New Roman" w:cs="Times New Roman"/>
          <w:i/>
          <w:iCs/>
          <w:color w:val="000000"/>
          <w:sz w:val="24"/>
          <w:szCs w:val="24"/>
        </w:rPr>
        <w:t>Lanxess</w:t>
      </w:r>
      <w:proofErr w:type="spellEnd"/>
      <w:r w:rsidRPr="00653D8D">
        <w:rPr>
          <w:rFonts w:ascii="Times New Roman" w:eastAsia="Times New Roman" w:hAnsi="Times New Roman" w:cs="Times New Roman"/>
          <w:i/>
          <w:iCs/>
          <w:color w:val="000000"/>
          <w:sz w:val="24"/>
          <w:szCs w:val="24"/>
        </w:rPr>
        <w:t>, Aramco establish rubber joint venture</w:t>
      </w:r>
      <w:r w:rsidRPr="00653D8D">
        <w:rPr>
          <w:rFonts w:ascii="Times New Roman" w:eastAsia="Times New Roman" w:hAnsi="Times New Roman" w:cs="Times New Roman"/>
          <w:color w:val="000000"/>
          <w:sz w:val="24"/>
          <w:szCs w:val="24"/>
        </w:rPr>
        <w:t xml:space="preserve">. [online] Available </w:t>
      </w:r>
      <w:proofErr w:type="spellStart"/>
      <w:r w:rsidRPr="00653D8D">
        <w:rPr>
          <w:rFonts w:ascii="Times New Roman" w:eastAsia="Times New Roman" w:hAnsi="Times New Roman" w:cs="Times New Roman"/>
          <w:color w:val="000000"/>
          <w:sz w:val="24"/>
          <w:szCs w:val="24"/>
        </w:rPr>
        <w:t>at:</w:t>
      </w:r>
      <w:hyperlink r:id="rId15" w:history="1">
        <w:r w:rsidRPr="00653D8D">
          <w:rPr>
            <w:rFonts w:ascii="Times New Roman" w:eastAsia="Times New Roman" w:hAnsi="Times New Roman" w:cs="Times New Roman"/>
            <w:color w:val="5388C2"/>
            <w:sz w:val="24"/>
            <w:szCs w:val="24"/>
            <w:u w:val="single"/>
          </w:rPr>
          <w:t>http</w:t>
        </w:r>
        <w:proofErr w:type="spellEnd"/>
        <w:r w:rsidRPr="00653D8D">
          <w:rPr>
            <w:rFonts w:ascii="Times New Roman" w:eastAsia="Times New Roman" w:hAnsi="Times New Roman" w:cs="Times New Roman"/>
            <w:color w:val="5388C2"/>
            <w:sz w:val="24"/>
            <w:szCs w:val="24"/>
            <w:u w:val="single"/>
          </w:rPr>
          <w:t>://www.rubbernews.com/article/20151007/NEWS/310059998</w:t>
        </w:r>
      </w:hyperlink>
      <w:r w:rsidRPr="00653D8D">
        <w:rPr>
          <w:rFonts w:ascii="Times New Roman" w:eastAsia="Times New Roman" w:hAnsi="Times New Roman" w:cs="Times New Roman"/>
          <w:color w:val="000000"/>
          <w:sz w:val="24"/>
          <w:szCs w:val="24"/>
        </w:rPr>
        <w:t>.</w:t>
      </w:r>
    </w:p>
    <w:p w:rsidR="00653D8D" w:rsidRPr="00653D8D" w:rsidRDefault="00653D8D" w:rsidP="00653D8D">
      <w:pPr>
        <w:shd w:val="clear" w:color="auto" w:fill="FFFFFF"/>
        <w:bidi w:val="0"/>
        <w:spacing w:after="0" w:line="240" w:lineRule="auto"/>
        <w:ind w:firstLine="720"/>
        <w:rPr>
          <w:rFonts w:ascii="Tahoma" w:eastAsia="Times New Roman" w:hAnsi="Tahoma" w:cs="Tahoma"/>
          <w:color w:val="44505D"/>
          <w:sz w:val="18"/>
          <w:szCs w:val="18"/>
        </w:rPr>
      </w:pPr>
      <w:r w:rsidRPr="00653D8D">
        <w:rPr>
          <w:rFonts w:ascii="Times New Roman" w:eastAsia="Times New Roman" w:hAnsi="Times New Roman" w:cs="Times New Roman"/>
          <w:color w:val="000000"/>
          <w:sz w:val="24"/>
          <w:szCs w:val="24"/>
        </w:rPr>
        <w:t>Anon, (2017). [online] Available at: </w:t>
      </w:r>
      <w:hyperlink r:id="rId16" w:tooltip="http://www.saudiaramco.com/" w:history="1">
        <w:r w:rsidRPr="00653D8D">
          <w:rPr>
            <w:rFonts w:ascii="Times New Roman" w:eastAsia="Times New Roman" w:hAnsi="Times New Roman" w:cs="Times New Roman"/>
            <w:color w:val="5388C2"/>
            <w:sz w:val="24"/>
            <w:szCs w:val="24"/>
            <w:u w:val="single"/>
          </w:rPr>
          <w:t>http://www.saudiaramco.com/</w:t>
        </w:r>
      </w:hyperlink>
    </w:p>
    <w:p w:rsidR="00653D8D" w:rsidRPr="00653D8D" w:rsidRDefault="00653D8D" w:rsidP="00653D8D">
      <w:pPr>
        <w:shd w:val="clear" w:color="auto" w:fill="FFFFFF"/>
        <w:bidi w:val="0"/>
        <w:spacing w:before="240" w:after="240" w:line="240" w:lineRule="auto"/>
        <w:rPr>
          <w:rFonts w:ascii="Tahoma" w:eastAsia="Times New Roman" w:hAnsi="Tahoma" w:cs="Tahoma"/>
          <w:color w:val="44505D"/>
          <w:sz w:val="18"/>
          <w:szCs w:val="18"/>
        </w:rPr>
      </w:pPr>
      <w:r w:rsidRPr="00653D8D">
        <w:rPr>
          <w:rFonts w:ascii="Tahoma" w:eastAsia="Times New Roman" w:hAnsi="Tahoma" w:cs="Tahoma"/>
          <w:color w:val="44505D"/>
          <w:sz w:val="18"/>
          <w:szCs w:val="18"/>
        </w:rPr>
        <w:t> </w:t>
      </w:r>
    </w:p>
    <w:p w:rsidR="00653D8D" w:rsidRDefault="00653D8D" w:rsidP="00653D8D">
      <w:pPr>
        <w:jc w:val="right"/>
      </w:pPr>
      <w:proofErr w:type="gramStart"/>
      <w:r>
        <w:t>Comment :</w:t>
      </w:r>
      <w:proofErr w:type="gramEnd"/>
    </w:p>
    <w:p w:rsidR="00653D8D" w:rsidRDefault="00653D8D" w:rsidP="00653D8D">
      <w:pPr>
        <w:jc w:val="right"/>
        <w:rPr>
          <w:rtl/>
        </w:rPr>
      </w:pPr>
    </w:p>
    <w:p w:rsidR="004F4BB3" w:rsidRDefault="004F4BB3" w:rsidP="00653D8D">
      <w:pPr>
        <w:jc w:val="right"/>
        <w:rPr>
          <w:rtl/>
        </w:rPr>
      </w:pPr>
    </w:p>
    <w:p w:rsidR="004F4BB3" w:rsidRDefault="004F4BB3" w:rsidP="00653D8D">
      <w:pPr>
        <w:jc w:val="right"/>
        <w:rPr>
          <w:rtl/>
        </w:rPr>
      </w:pPr>
    </w:p>
    <w:p w:rsidR="004F4BB3" w:rsidRDefault="004F4BB3" w:rsidP="00653D8D">
      <w:pPr>
        <w:jc w:val="right"/>
        <w:rPr>
          <w:rtl/>
        </w:rPr>
      </w:pPr>
    </w:p>
    <w:p w:rsidR="004F4BB3" w:rsidRDefault="004F4BB3" w:rsidP="00653D8D">
      <w:pPr>
        <w:jc w:val="right"/>
        <w:rPr>
          <w:rtl/>
        </w:rPr>
      </w:pPr>
    </w:p>
    <w:p w:rsidR="004F4BB3" w:rsidRDefault="004F4BB3" w:rsidP="00653D8D">
      <w:pPr>
        <w:jc w:val="right"/>
        <w:rPr>
          <w:rtl/>
        </w:rPr>
      </w:pPr>
    </w:p>
    <w:p w:rsidR="004F4BB3" w:rsidRDefault="004F4BB3" w:rsidP="00653D8D">
      <w:pPr>
        <w:jc w:val="right"/>
        <w:rPr>
          <w:rFonts w:hint="cs"/>
          <w:rtl/>
        </w:rPr>
      </w:pPr>
      <w:r>
        <w:t>Post 7</w:t>
      </w:r>
    </w:p>
    <w:p w:rsidR="004F4BB3" w:rsidRPr="004F4BB3" w:rsidRDefault="004F4BB3" w:rsidP="004F4BB3">
      <w:pPr>
        <w:shd w:val="clear" w:color="auto" w:fill="FFFFFF"/>
        <w:bidi w:val="0"/>
        <w:spacing w:after="0" w:line="360" w:lineRule="atLeast"/>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 xml:space="preserve">Kingdom Holding Company (KHC) is one of the world's leading global investment organizations with holdings in a portion of the world's best-known firms and brands including Apple, Time Warner, Samba, Citigroup, Pepsi, Walt </w:t>
      </w:r>
      <w:proofErr w:type="gramStart"/>
      <w:r w:rsidRPr="004F4BB3">
        <w:rPr>
          <w:rFonts w:ascii="Times New Roman" w:eastAsia="Times New Roman" w:hAnsi="Times New Roman" w:cs="Times New Roman"/>
          <w:color w:val="44505D"/>
          <w:sz w:val="24"/>
          <w:szCs w:val="24"/>
        </w:rPr>
        <w:t>Disney</w:t>
      </w:r>
      <w:proofErr w:type="gramEnd"/>
      <w:r w:rsidRPr="004F4BB3">
        <w:rPr>
          <w:rFonts w:ascii="Times New Roman" w:eastAsia="Times New Roman" w:hAnsi="Times New Roman" w:cs="Times New Roman"/>
          <w:color w:val="44505D"/>
          <w:sz w:val="24"/>
          <w:szCs w:val="24"/>
        </w:rPr>
        <w:t xml:space="preserve"> and Four Seasons (Press &amp; Media, 2017)</w:t>
      </w:r>
      <w:r w:rsidRPr="004F4BB3">
        <w:rPr>
          <w:rFonts w:ascii="Tahoma" w:eastAsia="Times New Roman" w:hAnsi="Tahoma" w:cs="Tahoma"/>
          <w:color w:val="44505D"/>
          <w:sz w:val="18"/>
          <w:szCs w:val="18"/>
        </w:rPr>
        <w:t>.</w:t>
      </w:r>
    </w:p>
    <w:p w:rsidR="004F4BB3" w:rsidRPr="004F4BB3" w:rsidRDefault="004F4BB3" w:rsidP="004F4BB3">
      <w:pPr>
        <w:shd w:val="clear" w:color="auto" w:fill="FFFFFF"/>
        <w:bidi w:val="0"/>
        <w:spacing w:after="0" w:line="360" w:lineRule="atLeast"/>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KHC has hardened its position as the world's leading vale investor. KHC strategy emphasis is on recognizing optimal opportunities to invest and acknowledge value from underperforming or undervalued assets or underestimated resources around the world.  KHC sees extraordinary worth in socialist investment interests. As one of the world's biggest hotel investors, KHC have a group of leading hotels and a huge interest in international hotel management companies (About Us, 2017)</w:t>
      </w:r>
      <w:r w:rsidRPr="004F4BB3">
        <w:rPr>
          <w:rFonts w:ascii="Tahoma" w:eastAsia="Times New Roman" w:hAnsi="Tahoma" w:cs="Tahoma"/>
          <w:color w:val="44505D"/>
          <w:sz w:val="18"/>
          <w:szCs w:val="18"/>
        </w:rPr>
        <w:t>.</w:t>
      </w:r>
    </w:p>
    <w:p w:rsidR="004F4BB3" w:rsidRPr="004F4BB3" w:rsidRDefault="004F4BB3" w:rsidP="004F4BB3">
      <w:pPr>
        <w:shd w:val="clear" w:color="auto" w:fill="FFFFFF"/>
        <w:bidi w:val="0"/>
        <w:spacing w:after="0" w:line="360" w:lineRule="atLeast"/>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 xml:space="preserve">With a vision to be globally one of the biggest and most diverse investment organizations, KHC have built up a solid, durable vision to lead KHC present and future investment strategy. KHC trusts in the principle of consistent business development, </w:t>
      </w:r>
      <w:proofErr w:type="gramStart"/>
      <w:r w:rsidRPr="004F4BB3">
        <w:rPr>
          <w:rFonts w:ascii="Times New Roman" w:eastAsia="Times New Roman" w:hAnsi="Times New Roman" w:cs="Times New Roman"/>
          <w:color w:val="44505D"/>
          <w:sz w:val="24"/>
          <w:szCs w:val="24"/>
        </w:rPr>
        <w:t>diversification</w:t>
      </w:r>
      <w:proofErr w:type="gramEnd"/>
      <w:r w:rsidRPr="004F4BB3">
        <w:rPr>
          <w:rFonts w:ascii="Times New Roman" w:eastAsia="Times New Roman" w:hAnsi="Times New Roman" w:cs="Times New Roman"/>
          <w:color w:val="44505D"/>
          <w:sz w:val="24"/>
          <w:szCs w:val="24"/>
        </w:rPr>
        <w:t xml:space="preserve"> and geographic expansion. This can be easily seen by observing KHC's business exercises development from the local market to cover broad regional and worldwide markets (About Us, 2017)</w:t>
      </w:r>
      <w:r w:rsidRPr="004F4BB3">
        <w:rPr>
          <w:rFonts w:ascii="Tahoma" w:eastAsia="Times New Roman" w:hAnsi="Tahoma" w:cs="Tahoma"/>
          <w:color w:val="44505D"/>
          <w:sz w:val="18"/>
          <w:szCs w:val="18"/>
        </w:rPr>
        <w:t>.</w:t>
      </w:r>
    </w:p>
    <w:p w:rsidR="004F4BB3" w:rsidRPr="004F4BB3" w:rsidRDefault="004F4BB3" w:rsidP="004F4BB3">
      <w:pPr>
        <w:shd w:val="clear" w:color="auto" w:fill="FFFFFF"/>
        <w:bidi w:val="0"/>
        <w:spacing w:after="0" w:line="360" w:lineRule="atLeast"/>
        <w:ind w:firstLine="360"/>
        <w:jc w:val="both"/>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The Company’s pursue its vision through a strategy founded on below investment principles:</w:t>
      </w:r>
    </w:p>
    <w:p w:rsidR="004F4BB3" w:rsidRPr="004F4BB3" w:rsidRDefault="004F4BB3" w:rsidP="004F4BB3">
      <w:pPr>
        <w:numPr>
          <w:ilvl w:val="0"/>
          <w:numId w:val="9"/>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lastRenderedPageBreak/>
        <w:t>Investment in high performance and leading brands.</w:t>
      </w:r>
    </w:p>
    <w:p w:rsidR="004F4BB3" w:rsidRPr="004F4BB3" w:rsidRDefault="004F4BB3" w:rsidP="004F4BB3">
      <w:pPr>
        <w:numPr>
          <w:ilvl w:val="0"/>
          <w:numId w:val="9"/>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Long-term investment approach.</w:t>
      </w:r>
    </w:p>
    <w:p w:rsidR="004F4BB3" w:rsidRPr="004F4BB3" w:rsidRDefault="004F4BB3" w:rsidP="004F4BB3">
      <w:pPr>
        <w:numPr>
          <w:ilvl w:val="0"/>
          <w:numId w:val="9"/>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Extract value from underperforming assets.</w:t>
      </w:r>
    </w:p>
    <w:p w:rsidR="004F4BB3" w:rsidRPr="004F4BB3" w:rsidRDefault="004F4BB3" w:rsidP="004F4BB3">
      <w:pPr>
        <w:numPr>
          <w:ilvl w:val="0"/>
          <w:numId w:val="9"/>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Focus on core growth and value-added industry sectors.</w:t>
      </w:r>
    </w:p>
    <w:p w:rsidR="004F4BB3" w:rsidRPr="004F4BB3" w:rsidRDefault="004F4BB3" w:rsidP="004F4BB3">
      <w:pPr>
        <w:numPr>
          <w:ilvl w:val="0"/>
          <w:numId w:val="9"/>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Network of contacts (About Us, 2017).</w:t>
      </w:r>
    </w:p>
    <w:p w:rsidR="004F4BB3" w:rsidRPr="004F4BB3" w:rsidRDefault="004F4BB3" w:rsidP="004F4BB3">
      <w:pPr>
        <w:shd w:val="clear" w:color="auto" w:fill="FFFFFF"/>
        <w:bidi w:val="0"/>
        <w:spacing w:after="0" w:line="360" w:lineRule="atLeast"/>
        <w:ind w:firstLine="360"/>
        <w:jc w:val="both"/>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 Grant and Jordan described the common element in successful strategy as the follows:</w:t>
      </w:r>
    </w:p>
    <w:p w:rsidR="004F4BB3" w:rsidRPr="004F4BB3" w:rsidRDefault="004F4BB3" w:rsidP="004F4BB3">
      <w:pPr>
        <w:numPr>
          <w:ilvl w:val="0"/>
          <w:numId w:val="10"/>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 xml:space="preserve">Simple, consistent and </w:t>
      </w:r>
      <w:proofErr w:type="gramStart"/>
      <w:r w:rsidRPr="004F4BB3">
        <w:rPr>
          <w:rFonts w:ascii="Tahoma" w:eastAsia="Times New Roman" w:hAnsi="Tahoma" w:cs="Tahoma"/>
          <w:color w:val="333333"/>
          <w:sz w:val="18"/>
          <w:szCs w:val="18"/>
        </w:rPr>
        <w:t>long term</w:t>
      </w:r>
      <w:proofErr w:type="gramEnd"/>
      <w:r w:rsidRPr="004F4BB3">
        <w:rPr>
          <w:rFonts w:ascii="Tahoma" w:eastAsia="Times New Roman" w:hAnsi="Tahoma" w:cs="Tahoma"/>
          <w:color w:val="333333"/>
          <w:sz w:val="18"/>
          <w:szCs w:val="18"/>
        </w:rPr>
        <w:t xml:space="preserve"> goals</w:t>
      </w:r>
    </w:p>
    <w:p w:rsidR="004F4BB3" w:rsidRPr="004F4BB3" w:rsidRDefault="004F4BB3" w:rsidP="004F4BB3">
      <w:pPr>
        <w:numPr>
          <w:ilvl w:val="0"/>
          <w:numId w:val="10"/>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Understanding the competitive environment deeply</w:t>
      </w:r>
    </w:p>
    <w:p w:rsidR="004F4BB3" w:rsidRPr="004F4BB3" w:rsidRDefault="004F4BB3" w:rsidP="004F4BB3">
      <w:pPr>
        <w:numPr>
          <w:ilvl w:val="0"/>
          <w:numId w:val="10"/>
        </w:numPr>
        <w:shd w:val="clear" w:color="auto" w:fill="FFFFFF"/>
        <w:bidi w:val="0"/>
        <w:spacing w:after="0" w:line="240" w:lineRule="auto"/>
        <w:ind w:right="720"/>
        <w:rPr>
          <w:rFonts w:ascii="Tahoma" w:eastAsia="Times New Roman" w:hAnsi="Tahoma" w:cs="Tahoma"/>
          <w:color w:val="333333"/>
          <w:sz w:val="18"/>
          <w:szCs w:val="18"/>
        </w:rPr>
      </w:pPr>
      <w:r w:rsidRPr="004F4BB3">
        <w:rPr>
          <w:rFonts w:ascii="Tahoma" w:eastAsia="Times New Roman" w:hAnsi="Tahoma" w:cs="Tahoma"/>
          <w:color w:val="333333"/>
          <w:sz w:val="18"/>
          <w:szCs w:val="18"/>
        </w:rPr>
        <w:t>Objective assessment of resources (Grant &amp; Jordan, 2015). </w:t>
      </w:r>
    </w:p>
    <w:p w:rsidR="004F4BB3" w:rsidRPr="004F4BB3" w:rsidRDefault="004F4BB3" w:rsidP="004F4BB3">
      <w:pPr>
        <w:shd w:val="clear" w:color="auto" w:fill="FFFFFF"/>
        <w:bidi w:val="0"/>
        <w:spacing w:after="0" w:line="360" w:lineRule="atLeast"/>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KHC seems to have profound understanding of the competitive environment by identifying optimal opportunities very well to invest and realize value from underperforming or undervalued assets worldwide. It is this recognition of long-term potential that has secured KHC a leading position globally. The company focus in future by long-term investments that deliver sustained growth and continuously strong returns (About Us, 2017)</w:t>
      </w:r>
      <w:r w:rsidRPr="004F4BB3">
        <w:rPr>
          <w:rFonts w:ascii="Tahoma" w:eastAsia="Times New Roman" w:hAnsi="Tahoma" w:cs="Tahoma"/>
          <w:color w:val="44505D"/>
          <w:sz w:val="18"/>
          <w:szCs w:val="18"/>
        </w:rPr>
        <w:t>.</w:t>
      </w:r>
    </w:p>
    <w:p w:rsidR="004F4BB3" w:rsidRPr="004F4BB3" w:rsidRDefault="004F4BB3" w:rsidP="004F4BB3">
      <w:pPr>
        <w:shd w:val="clear" w:color="auto" w:fill="FFFFFF"/>
        <w:bidi w:val="0"/>
        <w:spacing w:after="0" w:line="240" w:lineRule="auto"/>
        <w:rPr>
          <w:rFonts w:ascii="Tahoma" w:eastAsia="Times New Roman" w:hAnsi="Tahoma" w:cs="Tahoma"/>
          <w:color w:val="44505D"/>
          <w:sz w:val="18"/>
          <w:szCs w:val="18"/>
        </w:rPr>
      </w:pPr>
      <w:r w:rsidRPr="004F4BB3">
        <w:rPr>
          <w:rFonts w:ascii="Times New Roman" w:eastAsia="Times New Roman" w:hAnsi="Times New Roman" w:cs="Times New Roman"/>
          <w:color w:val="000000"/>
          <w:sz w:val="24"/>
          <w:szCs w:val="24"/>
        </w:rPr>
        <w:t> </w:t>
      </w:r>
    </w:p>
    <w:p w:rsidR="004F4BB3" w:rsidRPr="004F4BB3" w:rsidRDefault="004F4BB3" w:rsidP="004F4BB3">
      <w:pPr>
        <w:shd w:val="clear" w:color="auto" w:fill="FFFFFF"/>
        <w:bidi w:val="0"/>
        <w:spacing w:after="0" w:line="360" w:lineRule="atLeast"/>
        <w:ind w:left="360"/>
        <w:jc w:val="center"/>
        <w:rPr>
          <w:rFonts w:ascii="Tahoma" w:eastAsia="Times New Roman" w:hAnsi="Tahoma" w:cs="Tahoma"/>
          <w:color w:val="44505D"/>
          <w:sz w:val="18"/>
          <w:szCs w:val="18"/>
        </w:rPr>
      </w:pPr>
      <w:r w:rsidRPr="004F4BB3">
        <w:rPr>
          <w:rFonts w:ascii="Times New Roman" w:eastAsia="Times New Roman" w:hAnsi="Times New Roman" w:cs="Times New Roman"/>
          <w:b/>
          <w:bCs/>
          <w:color w:val="44505D"/>
          <w:sz w:val="24"/>
          <w:szCs w:val="24"/>
        </w:rPr>
        <w:t>References</w:t>
      </w:r>
    </w:p>
    <w:p w:rsidR="004F4BB3" w:rsidRPr="004F4BB3" w:rsidRDefault="004F4BB3" w:rsidP="004F4BB3">
      <w:pPr>
        <w:shd w:val="clear" w:color="auto" w:fill="FFFFFF"/>
        <w:bidi w:val="0"/>
        <w:spacing w:after="0" w:line="360" w:lineRule="atLeast"/>
        <w:ind w:left="360" w:hanging="360"/>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Press &amp; Media. (</w:t>
      </w:r>
      <w:proofErr w:type="spellStart"/>
      <w:r w:rsidRPr="004F4BB3">
        <w:rPr>
          <w:rFonts w:ascii="Times New Roman" w:eastAsia="Times New Roman" w:hAnsi="Times New Roman" w:cs="Times New Roman"/>
          <w:color w:val="44505D"/>
          <w:sz w:val="24"/>
          <w:szCs w:val="24"/>
        </w:rPr>
        <w:t>n.d.</w:t>
      </w:r>
      <w:proofErr w:type="spellEnd"/>
      <w:r w:rsidRPr="004F4BB3">
        <w:rPr>
          <w:rFonts w:ascii="Times New Roman" w:eastAsia="Times New Roman" w:hAnsi="Times New Roman" w:cs="Times New Roman"/>
          <w:color w:val="44505D"/>
          <w:sz w:val="24"/>
          <w:szCs w:val="24"/>
        </w:rPr>
        <w:t>). Retrieved September 18, 2017, from </w:t>
      </w:r>
      <w:hyperlink r:id="rId17" w:tgtFrame="_blank" w:history="1">
        <w:r w:rsidRPr="004F4BB3">
          <w:rPr>
            <w:rFonts w:ascii="Tahoma" w:eastAsia="Times New Roman" w:hAnsi="Tahoma" w:cs="Tahoma"/>
            <w:color w:val="5388C2"/>
            <w:sz w:val="18"/>
            <w:szCs w:val="18"/>
            <w:u w:val="single"/>
          </w:rPr>
          <w:t>http://www.kingdom.com.sa/kingdom-holding-khc-number-1-company-among-the-companies-with-non-governmental-stake-in-them</w:t>
        </w:r>
      </w:hyperlink>
    </w:p>
    <w:p w:rsidR="004F4BB3" w:rsidRPr="004F4BB3" w:rsidRDefault="004F4BB3" w:rsidP="004F4BB3">
      <w:pPr>
        <w:shd w:val="clear" w:color="auto" w:fill="FFFFFF"/>
        <w:bidi w:val="0"/>
        <w:spacing w:after="0" w:line="360" w:lineRule="atLeast"/>
        <w:ind w:left="360" w:hanging="360"/>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About Us. (</w:t>
      </w:r>
      <w:proofErr w:type="spellStart"/>
      <w:r w:rsidRPr="004F4BB3">
        <w:rPr>
          <w:rFonts w:ascii="Times New Roman" w:eastAsia="Times New Roman" w:hAnsi="Times New Roman" w:cs="Times New Roman"/>
          <w:color w:val="44505D"/>
          <w:sz w:val="24"/>
          <w:szCs w:val="24"/>
        </w:rPr>
        <w:t>n.d.</w:t>
      </w:r>
      <w:proofErr w:type="spellEnd"/>
      <w:r w:rsidRPr="004F4BB3">
        <w:rPr>
          <w:rFonts w:ascii="Times New Roman" w:eastAsia="Times New Roman" w:hAnsi="Times New Roman" w:cs="Times New Roman"/>
          <w:color w:val="44505D"/>
          <w:sz w:val="24"/>
          <w:szCs w:val="24"/>
        </w:rPr>
        <w:t>). Retrieved September 18, 2017, from </w:t>
      </w:r>
      <w:hyperlink r:id="rId18" w:tgtFrame="_blank" w:history="1">
        <w:r w:rsidRPr="004F4BB3">
          <w:rPr>
            <w:rFonts w:ascii="Tahoma" w:eastAsia="Times New Roman" w:hAnsi="Tahoma" w:cs="Tahoma"/>
            <w:color w:val="5388C2"/>
            <w:sz w:val="18"/>
            <w:szCs w:val="18"/>
            <w:u w:val="single"/>
          </w:rPr>
          <w:t>http://www.kingdom.com.sa/about-us/our-vision</w:t>
        </w:r>
      </w:hyperlink>
    </w:p>
    <w:p w:rsidR="004F4BB3" w:rsidRPr="004F4BB3" w:rsidRDefault="004F4BB3" w:rsidP="004F4BB3">
      <w:pPr>
        <w:shd w:val="clear" w:color="auto" w:fill="FFFFFF"/>
        <w:bidi w:val="0"/>
        <w:spacing w:after="0" w:line="360" w:lineRule="atLeast"/>
        <w:ind w:left="360" w:hanging="360"/>
        <w:rPr>
          <w:rFonts w:ascii="Tahoma" w:eastAsia="Times New Roman" w:hAnsi="Tahoma" w:cs="Tahoma"/>
          <w:color w:val="44505D"/>
          <w:sz w:val="18"/>
          <w:szCs w:val="18"/>
        </w:rPr>
      </w:pPr>
      <w:r w:rsidRPr="004F4BB3">
        <w:rPr>
          <w:rFonts w:ascii="Times New Roman" w:eastAsia="Times New Roman" w:hAnsi="Times New Roman" w:cs="Times New Roman"/>
          <w:color w:val="44505D"/>
          <w:sz w:val="24"/>
          <w:szCs w:val="24"/>
        </w:rPr>
        <w:t>Grant, R. M. &amp; Jordan, J. (2015). Foundations of strategy (2nd ed.). Hoboken, NJ: John Wiley &amp; Sons.</w:t>
      </w: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roofErr w:type="gramStart"/>
      <w:r>
        <w:t>Comment :</w:t>
      </w:r>
      <w:proofErr w:type="gramEnd"/>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rPr>
          <w:rtl/>
        </w:rPr>
      </w:pPr>
    </w:p>
    <w:p w:rsidR="004F4BB3" w:rsidRDefault="004F4BB3" w:rsidP="00653D8D">
      <w:pPr>
        <w:jc w:val="right"/>
        <w:rPr>
          <w:rtl/>
        </w:rPr>
      </w:pPr>
    </w:p>
    <w:p w:rsidR="004F4BB3" w:rsidRDefault="004F4BB3" w:rsidP="00653D8D">
      <w:pPr>
        <w:jc w:val="right"/>
      </w:pPr>
    </w:p>
    <w:p w:rsidR="004F4BB3" w:rsidRDefault="004F4BB3" w:rsidP="00653D8D">
      <w:pPr>
        <w:jc w:val="right"/>
      </w:pPr>
    </w:p>
    <w:p w:rsidR="004F4BB3" w:rsidRDefault="004F4BB3" w:rsidP="00653D8D">
      <w:pPr>
        <w:jc w:val="right"/>
        <w:rPr>
          <w:rFonts w:hint="cs"/>
          <w:rtl/>
        </w:rPr>
      </w:pPr>
      <w:r>
        <w:lastRenderedPageBreak/>
        <w:t>Post8</w:t>
      </w:r>
    </w:p>
    <w:p w:rsidR="004F4BB3" w:rsidRDefault="004F4BB3" w:rsidP="004F4BB3">
      <w:pPr>
        <w:pStyle w:val="a3"/>
        <w:shd w:val="clear" w:color="auto" w:fill="FFFFFF"/>
        <w:spacing w:before="0" w:beforeAutospacing="0" w:after="0" w:afterAutospacing="0"/>
        <w:jc w:val="center"/>
        <w:rPr>
          <w:rFonts w:ascii="Tahoma" w:hAnsi="Tahoma" w:cs="Tahoma"/>
          <w:color w:val="44505D"/>
          <w:sz w:val="18"/>
          <w:szCs w:val="18"/>
        </w:rPr>
      </w:pPr>
      <w:proofErr w:type="spellStart"/>
      <w:r>
        <w:rPr>
          <w:color w:val="000000"/>
        </w:rPr>
        <w:t>AlRajhi</w:t>
      </w:r>
      <w:proofErr w:type="spellEnd"/>
      <w:r>
        <w:rPr>
          <w:color w:val="000000"/>
        </w:rPr>
        <w:t xml:space="preserve"> Bank Business Strategy</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r>
        <w:rPr>
          <w:color w:val="000000"/>
        </w:rPr>
        <w:t>A strategic business plan helps the company to define its mission and vision, giving the company a reason of its existence and direction that sets them apart from competitors (Pearce &amp; Robinson, 2009). A mission statement also discusses the product or services conducted by the company (Pearce &amp; Robinson, 2009). Developing a strong mission and vision statement clearly presents to potential and existing customers what the company is about and what the plan is for the future.</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proofErr w:type="spellStart"/>
      <w:r>
        <w:rPr>
          <w:color w:val="000000"/>
        </w:rPr>
        <w:t>AlRajhi</w:t>
      </w:r>
      <w:proofErr w:type="spellEnd"/>
      <w:r>
        <w:rPr>
          <w:color w:val="000000"/>
        </w:rPr>
        <w:t xml:space="preserve"> Bank is the largest Islamic banking in the region, and its main strategic objective is to protect its retail franchise and domestic entrenchment. The bank's potential to further develop its retail business and franchise is limited. The retail lending growth has been slowing down during the last two years due to the economic recession. The competitive threats to retail-focused banks have become more obvious since the distinctive benefits of being Islamic bank started to vanish after most Saudi banks turned their conventional retail business lines into Islamic ones. While, Al Rajhi still benefits from a first-mover advantage and strong brand name recognition (</w:t>
      </w:r>
      <w:proofErr w:type="spellStart"/>
      <w:r>
        <w:rPr>
          <w:color w:val="000000"/>
        </w:rPr>
        <w:t>Goeksenin</w:t>
      </w:r>
      <w:proofErr w:type="spellEnd"/>
      <w:r>
        <w:rPr>
          <w:color w:val="000000"/>
        </w:rPr>
        <w:t>, 2015).</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r>
        <w:rPr>
          <w:color w:val="000000"/>
        </w:rPr>
        <w:t>The bank has placed more emphasis on corporate banking in the past 10 years and has ambitious plans for further growth. It remains to be seen if the slowing economy will allow the bank to achieve its growth target while maintaining its asset quality. The bank has managed to rapidly capture a growing market share of corporate banking and nearly triple the size of its portfolio within five years, targeting mostly the top-end and the middle-market segments, with an initial emphasis on the kingdom's infrastructure projects and now on a more diversified base by economic sector. This strategic move has proved successful due to a supportive environment and growing demand for Islamic products. A slowing business environment and the resulting tougher competition in the corporate segment, where the bank is not an historic player, could limit any further forays if the bank is to maintain strict and conservative lending policies (</w:t>
      </w:r>
      <w:proofErr w:type="spellStart"/>
      <w:r>
        <w:rPr>
          <w:color w:val="000000"/>
        </w:rPr>
        <w:t>Goeksenin</w:t>
      </w:r>
      <w:proofErr w:type="spellEnd"/>
      <w:r>
        <w:rPr>
          <w:color w:val="000000"/>
        </w:rPr>
        <w:t>, 2015).</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r>
        <w:rPr>
          <w:color w:val="000000"/>
        </w:rPr>
        <w:t xml:space="preserve">The geographic diversification as a long-term strategy that the bank approved in 2007, helps the bank to overcome future business threats. Currently </w:t>
      </w:r>
      <w:proofErr w:type="spellStart"/>
      <w:r>
        <w:rPr>
          <w:color w:val="000000"/>
        </w:rPr>
        <w:t>AlRajhi</w:t>
      </w:r>
      <w:proofErr w:type="spellEnd"/>
      <w:r>
        <w:rPr>
          <w:color w:val="000000"/>
        </w:rPr>
        <w:t xml:space="preserve"> Bank the biggest network branches in the Kingdom with more than 700 branches around the Kingdom and more than 24 branches in Malaysia, Kuwait, and Jordan.</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r>
        <w:rPr>
          <w:color w:val="000000"/>
        </w:rPr>
        <w:t>According to Pearce and Robinson; indicated that all strategic planning must answer at least one of three key questions:</w:t>
      </w:r>
    </w:p>
    <w:p w:rsidR="004F4BB3" w:rsidRDefault="004F4BB3" w:rsidP="004F4BB3">
      <w:pPr>
        <w:pStyle w:val="a3"/>
        <w:numPr>
          <w:ilvl w:val="0"/>
          <w:numId w:val="11"/>
        </w:numPr>
        <w:shd w:val="clear" w:color="auto" w:fill="FFFFFF"/>
        <w:spacing w:before="0" w:beforeAutospacing="0" w:after="0" w:afterAutospacing="0"/>
        <w:ind w:right="720"/>
        <w:rPr>
          <w:rFonts w:ascii="Calibri" w:hAnsi="Calibri"/>
          <w:color w:val="000000"/>
          <w:sz w:val="22"/>
          <w:szCs w:val="22"/>
        </w:rPr>
      </w:pPr>
      <w:r>
        <w:rPr>
          <w:color w:val="000000"/>
        </w:rPr>
        <w:t>"What do we do?"</w:t>
      </w:r>
    </w:p>
    <w:p w:rsidR="004F4BB3" w:rsidRDefault="004F4BB3" w:rsidP="004F4BB3">
      <w:pPr>
        <w:pStyle w:val="a3"/>
        <w:numPr>
          <w:ilvl w:val="0"/>
          <w:numId w:val="11"/>
        </w:numPr>
        <w:shd w:val="clear" w:color="auto" w:fill="FFFFFF"/>
        <w:spacing w:before="0" w:beforeAutospacing="0" w:after="0" w:afterAutospacing="0"/>
        <w:ind w:right="720"/>
        <w:rPr>
          <w:rFonts w:ascii="Calibri" w:hAnsi="Calibri"/>
          <w:color w:val="000000"/>
          <w:sz w:val="22"/>
          <w:szCs w:val="22"/>
        </w:rPr>
      </w:pPr>
      <w:r>
        <w:rPr>
          <w:color w:val="000000"/>
        </w:rPr>
        <w:t xml:space="preserve">"For whom do </w:t>
      </w:r>
      <w:proofErr w:type="gramStart"/>
      <w:r>
        <w:rPr>
          <w:color w:val="000000"/>
        </w:rPr>
        <w:t>we</w:t>
      </w:r>
      <w:proofErr w:type="gramEnd"/>
      <w:r>
        <w:rPr>
          <w:color w:val="000000"/>
        </w:rPr>
        <w:t xml:space="preserve"> do it?"</w:t>
      </w:r>
    </w:p>
    <w:p w:rsidR="004F4BB3" w:rsidRDefault="004F4BB3" w:rsidP="004F4BB3">
      <w:pPr>
        <w:pStyle w:val="a3"/>
        <w:numPr>
          <w:ilvl w:val="0"/>
          <w:numId w:val="11"/>
        </w:numPr>
        <w:shd w:val="clear" w:color="auto" w:fill="FFFFFF"/>
        <w:spacing w:before="0" w:beforeAutospacing="0" w:after="0" w:afterAutospacing="0"/>
        <w:ind w:right="720"/>
        <w:rPr>
          <w:rFonts w:ascii="Calibri" w:hAnsi="Calibri"/>
          <w:color w:val="000000"/>
          <w:sz w:val="22"/>
          <w:szCs w:val="22"/>
        </w:rPr>
      </w:pPr>
      <w:r>
        <w:rPr>
          <w:color w:val="000000"/>
        </w:rPr>
        <w:t>"How do we excel?"</w:t>
      </w:r>
    </w:p>
    <w:p w:rsidR="004F4BB3" w:rsidRDefault="004F4BB3" w:rsidP="004F4BB3">
      <w:pPr>
        <w:pStyle w:val="a3"/>
        <w:shd w:val="clear" w:color="auto" w:fill="FFFFFF"/>
        <w:spacing w:before="0" w:beforeAutospacing="0" w:after="0" w:afterAutospacing="0"/>
        <w:rPr>
          <w:rFonts w:ascii="Tahoma" w:hAnsi="Tahoma" w:cs="Tahoma"/>
          <w:color w:val="44505D"/>
          <w:sz w:val="18"/>
          <w:szCs w:val="18"/>
        </w:rPr>
      </w:pPr>
      <w:r>
        <w:rPr>
          <w:color w:val="000000"/>
        </w:rPr>
        <w:t>References</w:t>
      </w:r>
    </w:p>
    <w:p w:rsidR="004F4BB3" w:rsidRDefault="004F4BB3" w:rsidP="004F4BB3">
      <w:pPr>
        <w:pStyle w:val="a3"/>
        <w:shd w:val="clear" w:color="auto" w:fill="FFFFFF"/>
        <w:spacing w:before="0" w:beforeAutospacing="0" w:after="0" w:afterAutospacing="0"/>
        <w:ind w:left="720" w:hanging="720"/>
        <w:rPr>
          <w:rFonts w:ascii="Tahoma" w:hAnsi="Tahoma" w:cs="Tahoma"/>
          <w:color w:val="44505D"/>
          <w:sz w:val="18"/>
          <w:szCs w:val="18"/>
        </w:rPr>
      </w:pPr>
      <w:r>
        <w:rPr>
          <w:color w:val="000000"/>
        </w:rPr>
        <w:t>Pearce, J. A., &amp; Robinson, R. B. (2009). Strategic management: Formulation, implementation, and control (2nd ed.). New York: McGraw-Hill.</w:t>
      </w:r>
    </w:p>
    <w:p w:rsidR="004F4BB3" w:rsidRDefault="004F4BB3" w:rsidP="004F4BB3">
      <w:pPr>
        <w:pStyle w:val="a3"/>
        <w:shd w:val="clear" w:color="auto" w:fill="FFFFFF"/>
        <w:spacing w:before="0" w:beforeAutospacing="0" w:after="0" w:afterAutospacing="0"/>
        <w:ind w:left="720" w:hanging="720"/>
        <w:rPr>
          <w:rFonts w:ascii="Tahoma" w:hAnsi="Tahoma" w:cs="Tahoma"/>
          <w:color w:val="44505D"/>
          <w:sz w:val="18"/>
          <w:szCs w:val="18"/>
        </w:rPr>
      </w:pPr>
      <w:proofErr w:type="spellStart"/>
      <w:r>
        <w:rPr>
          <w:color w:val="000000"/>
        </w:rPr>
        <w:t>Goeksenin</w:t>
      </w:r>
      <w:proofErr w:type="spellEnd"/>
      <w:r>
        <w:rPr>
          <w:color w:val="000000"/>
        </w:rPr>
        <w:t xml:space="preserve"> </w:t>
      </w:r>
      <w:proofErr w:type="spellStart"/>
      <w:r>
        <w:rPr>
          <w:color w:val="000000"/>
        </w:rPr>
        <w:t>Karagoez</w:t>
      </w:r>
      <w:proofErr w:type="spellEnd"/>
      <w:r>
        <w:rPr>
          <w:color w:val="000000"/>
        </w:rPr>
        <w:t xml:space="preserve"> (2015). Standard &amp; Poor's Financial Services LLC, McGraw Hill Financial. Retrieved from: http://www.alrajhibank.com.sa/en/investor-relations/documents/standard-and-poor</w:t>
      </w:r>
    </w:p>
    <w:p w:rsidR="004F4BB3" w:rsidRDefault="004F4BB3" w:rsidP="00653D8D">
      <w:pPr>
        <w:jc w:val="right"/>
        <w:rPr>
          <w:rFonts w:hint="cs"/>
        </w:rPr>
      </w:pPr>
    </w:p>
    <w:p w:rsidR="004F4BB3" w:rsidRDefault="004F4BB3" w:rsidP="00653D8D">
      <w:pPr>
        <w:jc w:val="right"/>
      </w:pPr>
      <w:proofErr w:type="gramStart"/>
      <w:r>
        <w:t>Comment :</w:t>
      </w:r>
      <w:proofErr w:type="gramEnd"/>
    </w:p>
    <w:p w:rsidR="004F4BB3" w:rsidRDefault="004F4BB3" w:rsidP="00653D8D">
      <w:pPr>
        <w:jc w:val="right"/>
        <w:rPr>
          <w:rFonts w:hint="cs"/>
        </w:rPr>
      </w:pPr>
    </w:p>
    <w:p w:rsidR="004F4BB3" w:rsidRDefault="004F4BB3" w:rsidP="004F4BB3">
      <w:pPr>
        <w:rPr>
          <w:rFonts w:hint="cs"/>
        </w:rPr>
      </w:pPr>
    </w:p>
    <w:p w:rsidR="004F4BB3" w:rsidRDefault="004F4BB3" w:rsidP="00653D8D">
      <w:pPr>
        <w:jc w:val="right"/>
        <w:rPr>
          <w:rFonts w:hint="cs"/>
        </w:rPr>
      </w:pPr>
    </w:p>
    <w:p w:rsidR="004F4BB3" w:rsidRDefault="004F4BB3" w:rsidP="00653D8D">
      <w:pPr>
        <w:jc w:val="right"/>
        <w:rPr>
          <w:rFonts w:hint="cs"/>
          <w:rtl/>
        </w:rPr>
      </w:pPr>
      <w:r>
        <w:t>Post9</w:t>
      </w:r>
    </w:p>
    <w:p w:rsidR="004F4BB3" w:rsidRDefault="004F4BB3" w:rsidP="004F4BB3">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In the context of the software industry, the application of Porter’s Five Forces model should be considered worthwhile. This is primarily because; Porter’s Five Forces model is an efficient analytical tool which has the potential to contribute thoroughly to the proper evaluation of the competitive positioning and value of the software industry. The strategic concepts of the model are hence applicable to the different facets of the software industry (King, 2015). Moreover, in the article, “Competitive landscape of the educational market: A managerial perspective,” (</w:t>
      </w:r>
      <w:proofErr w:type="spellStart"/>
      <w:r>
        <w:rPr>
          <w:color w:val="44505D"/>
        </w:rPr>
        <w:t>Krzyzanowska</w:t>
      </w:r>
      <w:proofErr w:type="spellEnd"/>
      <w:r>
        <w:rPr>
          <w:color w:val="44505D"/>
        </w:rPr>
        <w:t xml:space="preserve"> and Tkaczyk, 2012) have pointed out that, like any other industry, the software industry is also in the need of proper marketing, and in this regard its proper positioning becomes imperative. And it is in respect of the concept of proper positioning that Porter’s model should come to play an important role. That is one pivotal </w:t>
      </w:r>
      <w:proofErr w:type="gramStart"/>
      <w:r>
        <w:rPr>
          <w:color w:val="44505D"/>
        </w:rPr>
        <w:t>reason why</w:t>
      </w:r>
      <w:proofErr w:type="gramEnd"/>
      <w:r>
        <w:rPr>
          <w:color w:val="44505D"/>
        </w:rPr>
        <w:t xml:space="preserve"> an interrelation should be identified between Porter’s Five Forces model and the software industry. Also, it is noteworthy that, in some countries, lack of proper marketing and promotion of the software industry has </w:t>
      </w:r>
      <w:proofErr w:type="gramStart"/>
      <w:r>
        <w:rPr>
          <w:color w:val="44505D"/>
        </w:rPr>
        <w:t>actually contributed</w:t>
      </w:r>
      <w:proofErr w:type="gramEnd"/>
      <w:r>
        <w:rPr>
          <w:color w:val="44505D"/>
        </w:rPr>
        <w:t xml:space="preserve"> to its degradation (</w:t>
      </w:r>
      <w:proofErr w:type="spellStart"/>
      <w:r>
        <w:rPr>
          <w:color w:val="44505D"/>
        </w:rPr>
        <w:t>Krzyzanowska</w:t>
      </w:r>
      <w:proofErr w:type="spellEnd"/>
      <w:r>
        <w:rPr>
          <w:color w:val="44505D"/>
        </w:rPr>
        <w:t xml:space="preserve"> &amp; Tkaczyk, 2012). Moreover, it must also be admitted that like any other industry the competitive rivalry which exists between different software industries should also come under the analysis of Porter’s model (“Jonathan </w:t>
      </w:r>
      <w:proofErr w:type="spellStart"/>
      <w:r>
        <w:rPr>
          <w:color w:val="44505D"/>
        </w:rPr>
        <w:t>Grudin</w:t>
      </w:r>
      <w:proofErr w:type="spellEnd"/>
      <w:r>
        <w:rPr>
          <w:color w:val="44505D"/>
        </w:rPr>
        <w:t xml:space="preserve"> at Microsoft Research”, </w:t>
      </w:r>
      <w:proofErr w:type="spellStart"/>
      <w:r>
        <w:rPr>
          <w:color w:val="44505D"/>
        </w:rPr>
        <w:t>n.d.</w:t>
      </w:r>
      <w:proofErr w:type="spellEnd"/>
      <w:r>
        <w:rPr>
          <w:color w:val="44505D"/>
        </w:rPr>
        <w:t xml:space="preserve">). Hence, it should be admitted that, if Porter’s Five Forces model can be strategically applied to the analysis of the software industry of the concerned nations then a way may be paved for its betterment in the long-run. And considering all the </w:t>
      </w:r>
      <w:proofErr w:type="gramStart"/>
      <w:r>
        <w:rPr>
          <w:color w:val="44505D"/>
        </w:rPr>
        <w:t>aforesaid</w:t>
      </w:r>
      <w:proofErr w:type="gramEnd"/>
      <w:r>
        <w:rPr>
          <w:color w:val="44505D"/>
        </w:rPr>
        <w:t xml:space="preserve"> aspects it must be said that there is an interrelationship between Porter’s framework and the proper analysis of the software industry.</w:t>
      </w:r>
    </w:p>
    <w:p w:rsidR="004F4BB3" w:rsidRDefault="004F4BB3" w:rsidP="004F4BB3">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w:t>
      </w:r>
      <w:r>
        <w:rPr>
          <w:rStyle w:val="a4"/>
          <w:color w:val="44505D"/>
        </w:rPr>
        <w:t>References</w:t>
      </w:r>
    </w:p>
    <w:p w:rsidR="004F4BB3" w:rsidRDefault="004F4BB3" w:rsidP="004F4BB3">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t>King, M.A. (2015). A Strategic Assessment of The Higher Education Industry: Applying the Porter's Five Forces for Industry Analysis. </w:t>
      </w:r>
      <w:r>
        <w:rPr>
          <w:rStyle w:val="a5"/>
          <w:color w:val="44505D"/>
        </w:rPr>
        <w:t>ResearchGate</w:t>
      </w:r>
      <w:r>
        <w:rPr>
          <w:color w:val="44505D"/>
        </w:rPr>
        <w:t>. Retrieved October 4, 2016, from https://www.researchgate.net/publication/254351314_A_Strategic_Assessment_of_The_Higher_Education_Industry_Applying_the_Porter's_Five_Forces_for_Industry_Analysis</w:t>
      </w:r>
    </w:p>
    <w:p w:rsidR="004F4BB3" w:rsidRDefault="004F4BB3" w:rsidP="004F4BB3">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44505D"/>
        </w:rPr>
        <w:t>Krzyzanowska</w:t>
      </w:r>
      <w:proofErr w:type="spellEnd"/>
      <w:r>
        <w:rPr>
          <w:color w:val="44505D"/>
        </w:rPr>
        <w:t>, M., &amp; Tkaczyk, J. (2012). Competitive landscape of the educational market: A managerial perspective. </w:t>
      </w:r>
      <w:r>
        <w:rPr>
          <w:rStyle w:val="a5"/>
          <w:color w:val="44505D"/>
        </w:rPr>
        <w:t>International Journal of Management Cases</w:t>
      </w:r>
      <w:r>
        <w:rPr>
          <w:color w:val="44505D"/>
        </w:rPr>
        <w:t>, 14(4), 238-251.</w:t>
      </w:r>
    </w:p>
    <w:p w:rsidR="004F4BB3" w:rsidRDefault="004F4BB3" w:rsidP="004F4BB3">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t xml:space="preserve">Jonathan </w:t>
      </w:r>
      <w:proofErr w:type="spellStart"/>
      <w:r>
        <w:rPr>
          <w:color w:val="44505D"/>
        </w:rPr>
        <w:t>Grudin</w:t>
      </w:r>
      <w:proofErr w:type="spellEnd"/>
      <w:r>
        <w:rPr>
          <w:color w:val="44505D"/>
        </w:rPr>
        <w:t xml:space="preserve"> at Microsoft Research. (</w:t>
      </w:r>
      <w:proofErr w:type="spellStart"/>
      <w:r>
        <w:rPr>
          <w:color w:val="44505D"/>
        </w:rPr>
        <w:t>n.d.</w:t>
      </w:r>
      <w:proofErr w:type="spellEnd"/>
      <w:r>
        <w:rPr>
          <w:color w:val="44505D"/>
        </w:rPr>
        <w:t>). Retrieved September 24, 2017, from http://www.bing.com/cr?</w:t>
      </w:r>
    </w:p>
    <w:p w:rsidR="004F4BB3" w:rsidRDefault="004F4BB3" w:rsidP="00653D8D">
      <w:pPr>
        <w:jc w:val="right"/>
        <w:rPr>
          <w:rtl/>
        </w:rPr>
      </w:pPr>
    </w:p>
    <w:p w:rsidR="004F4BB3" w:rsidRDefault="004F4BB3" w:rsidP="00653D8D">
      <w:pPr>
        <w:jc w:val="right"/>
      </w:pPr>
      <w:proofErr w:type="gramStart"/>
      <w:r>
        <w:lastRenderedPageBreak/>
        <w:t>Comment :</w:t>
      </w:r>
      <w:proofErr w:type="gramEnd"/>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pPr>
    </w:p>
    <w:p w:rsidR="004F4BB3" w:rsidRDefault="004F4BB3" w:rsidP="00653D8D">
      <w:pPr>
        <w:jc w:val="right"/>
        <w:rPr>
          <w:rFonts w:hint="cs"/>
          <w:rtl/>
        </w:rPr>
      </w:pPr>
      <w:r>
        <w:t>Post10</w:t>
      </w:r>
    </w:p>
    <w:p w:rsidR="004F4BB3" w:rsidRDefault="004F4BB3" w:rsidP="004F4BB3">
      <w:pPr>
        <w:pStyle w:val="a3"/>
        <w:shd w:val="clear" w:color="auto" w:fill="FFFFFF"/>
        <w:spacing w:before="0" w:beforeAutospacing="0" w:after="0" w:afterAutospacing="0" w:line="270" w:lineRule="atLeast"/>
        <w:ind w:firstLine="720"/>
        <w:rPr>
          <w:rFonts w:ascii="Tahoma" w:hAnsi="Tahoma" w:cs="Tahoma"/>
          <w:color w:val="44505D"/>
          <w:sz w:val="18"/>
          <w:szCs w:val="18"/>
        </w:rPr>
      </w:pPr>
      <w:r>
        <w:rPr>
          <w:color w:val="44505D"/>
        </w:rPr>
        <w:t>In this discussion, I will shed the light to the application of Porter's five forces in the educational market considering the dramatic change in educational industry. Porter’s five forces are:</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1.      Degree of industry rivalry and competitive intensity.</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2.      Barriers to entry into the industry.</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3.      Threats of available product or service substitutes.</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4.      Degree of buyer power to negotiate.</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5.      Degree of supplier power to negotiate (Grant &amp; Jordan, 2015).</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 xml:space="preserve">To start using Porter's analysis tool, I started looking at the challenges that the education business is facing and put them in five groups: suppliers, buyers, competitors, </w:t>
      </w:r>
      <w:proofErr w:type="gramStart"/>
      <w:r>
        <w:rPr>
          <w:color w:val="44505D"/>
        </w:rPr>
        <w:t>substitutions</w:t>
      </w:r>
      <w:proofErr w:type="gramEnd"/>
      <w:r>
        <w:rPr>
          <w:color w:val="44505D"/>
        </w:rPr>
        <w:t xml:space="preserve"> and entrants. I choose to put teachers and infrastructure such as facility, scientific </w:t>
      </w:r>
      <w:proofErr w:type="gramStart"/>
      <w:r>
        <w:rPr>
          <w:color w:val="44505D"/>
        </w:rPr>
        <w:t>labs</w:t>
      </w:r>
      <w:proofErr w:type="gramEnd"/>
      <w:r>
        <w:rPr>
          <w:color w:val="44505D"/>
        </w:rPr>
        <w:t xml:space="preserve"> and usage of IT under suppliers. Buyers’ powers in education sectors are the ability of students to </w:t>
      </w:r>
      <w:proofErr w:type="spellStart"/>
      <w:r>
        <w:rPr>
          <w:color w:val="44505D"/>
        </w:rPr>
        <w:t>enrol</w:t>
      </w:r>
      <w:proofErr w:type="spellEnd"/>
      <w:r>
        <w:rPr>
          <w:color w:val="44505D"/>
        </w:rPr>
        <w:t>. For example, the Saudi and Brazilian scholarship cut lower the international students in U.S universities. Parents are looking for more competing offers which make an international price pressure (</w:t>
      </w:r>
      <w:proofErr w:type="spellStart"/>
      <w:r>
        <w:rPr>
          <w:color w:val="44505D"/>
        </w:rPr>
        <w:t>tempostrategic</w:t>
      </w:r>
      <w:proofErr w:type="spellEnd"/>
      <w:r>
        <w:rPr>
          <w:color w:val="44505D"/>
        </w:rPr>
        <w:t>, 2017).</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 xml:space="preserve">Competitive rivalry in education is determined by the increasing percentage number of school compared to the number of students leaving less number of students for each school. The traditional way of teaching becomes less attractive for employers. A new substitution comes to picture is changing </w:t>
      </w:r>
      <w:proofErr w:type="gramStart"/>
      <w:r>
        <w:rPr>
          <w:color w:val="44505D"/>
        </w:rPr>
        <w:t>The</w:t>
      </w:r>
      <w:proofErr w:type="gramEnd"/>
      <w:r>
        <w:rPr>
          <w:color w:val="44505D"/>
        </w:rPr>
        <w:t xml:space="preserve"> four-year degree to a mix of 2-year programs, online courses, summer courses and life experience forcing schools to change their style (</w:t>
      </w:r>
      <w:proofErr w:type="spellStart"/>
      <w:r>
        <w:rPr>
          <w:color w:val="44505D"/>
        </w:rPr>
        <w:t>tempostrategic</w:t>
      </w:r>
      <w:proofErr w:type="spellEnd"/>
      <w:r>
        <w:rPr>
          <w:color w:val="44505D"/>
        </w:rPr>
        <w:t>, 2017).</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 xml:space="preserve">Finally, the new entry is providing what lifetime learners require. Employees </w:t>
      </w:r>
      <w:proofErr w:type="gramStart"/>
      <w:r>
        <w:rPr>
          <w:color w:val="44505D"/>
        </w:rPr>
        <w:t>are in need of</w:t>
      </w:r>
      <w:proofErr w:type="gramEnd"/>
      <w:r>
        <w:rPr>
          <w:color w:val="44505D"/>
        </w:rPr>
        <w:t xml:space="preserve"> certifications and credentials if they want to stay in competition with other peers. Certifications become requirements for many jobs. If a school doesn't </w:t>
      </w:r>
      <w:proofErr w:type="gramStart"/>
      <w:r>
        <w:rPr>
          <w:color w:val="44505D"/>
        </w:rPr>
        <w:t>look into</w:t>
      </w:r>
      <w:proofErr w:type="gramEnd"/>
      <w:r>
        <w:rPr>
          <w:color w:val="44505D"/>
        </w:rPr>
        <w:t xml:space="preserve"> that then it must be losing a competitive advantage. But having Patents, proprietary processes, </w:t>
      </w:r>
      <w:proofErr w:type="gramStart"/>
      <w:r>
        <w:rPr>
          <w:color w:val="44505D"/>
        </w:rPr>
        <w:t>knowledge</w:t>
      </w:r>
      <w:proofErr w:type="gramEnd"/>
      <w:r>
        <w:rPr>
          <w:color w:val="44505D"/>
        </w:rPr>
        <w:t xml:space="preserve"> and government policies act as barriers for new entrants giving the existing firms some kind of protection (King, 2017).</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 xml:space="preserve">From the above analysis, I see that applying Porter's five forces tool in educational sector gives managers more extensive competitive vision but it’s highly dependent on deep and careful market and technology anticipation and analysis. Though, it can’t be used to put and maintain a complete strategic plan since the educational market is in dramatic change </w:t>
      </w:r>
      <w:proofErr w:type="gramStart"/>
      <w:r>
        <w:rPr>
          <w:color w:val="44505D"/>
        </w:rPr>
        <w:t>putting  it</w:t>
      </w:r>
      <w:proofErr w:type="gramEnd"/>
      <w:r>
        <w:rPr>
          <w:color w:val="44505D"/>
        </w:rPr>
        <w:t xml:space="preserve"> in the middle of the competitive road leaving us without a clear strategy to follow in order to guarantee success (King, 2017).</w:t>
      </w:r>
    </w:p>
    <w:p w:rsidR="004F4BB3" w:rsidRDefault="004F4BB3" w:rsidP="004F4BB3">
      <w:pPr>
        <w:pStyle w:val="a3"/>
        <w:shd w:val="clear" w:color="auto" w:fill="FFFFFF"/>
        <w:spacing w:before="0" w:beforeAutospacing="0" w:after="0" w:afterAutospacing="0" w:line="270" w:lineRule="atLeast"/>
        <w:rPr>
          <w:rFonts w:ascii="Tahoma" w:hAnsi="Tahoma" w:cs="Tahoma"/>
          <w:color w:val="44505D"/>
          <w:sz w:val="18"/>
          <w:szCs w:val="18"/>
        </w:rPr>
      </w:pPr>
      <w:r>
        <w:rPr>
          <w:color w:val="44505D"/>
        </w:rPr>
        <w:t> </w:t>
      </w:r>
    </w:p>
    <w:p w:rsidR="004F4BB3" w:rsidRDefault="004F4BB3" w:rsidP="004F4BB3">
      <w:pPr>
        <w:pStyle w:val="a3"/>
        <w:shd w:val="clear" w:color="auto" w:fill="FFFFFF"/>
        <w:spacing w:before="0" w:beforeAutospacing="0" w:after="0" w:afterAutospacing="0" w:line="270" w:lineRule="atLeast"/>
        <w:jc w:val="center"/>
        <w:rPr>
          <w:rFonts w:ascii="Tahoma" w:hAnsi="Tahoma" w:cs="Tahoma"/>
          <w:color w:val="44505D"/>
          <w:sz w:val="18"/>
          <w:szCs w:val="18"/>
        </w:rPr>
      </w:pPr>
      <w:r>
        <w:rPr>
          <w:rStyle w:val="a4"/>
          <w:color w:val="44505D"/>
        </w:rPr>
        <w:lastRenderedPageBreak/>
        <w:t>References</w:t>
      </w:r>
    </w:p>
    <w:p w:rsidR="004F4BB3" w:rsidRDefault="004F4BB3" w:rsidP="004F4BB3">
      <w:pPr>
        <w:pStyle w:val="a3"/>
        <w:shd w:val="clear" w:color="auto" w:fill="FFFFFF"/>
        <w:spacing w:before="0" w:beforeAutospacing="0" w:after="0" w:afterAutospacing="0" w:line="270" w:lineRule="atLeast"/>
        <w:ind w:left="360" w:hanging="360"/>
        <w:rPr>
          <w:rFonts w:ascii="Tahoma" w:hAnsi="Tahoma" w:cs="Tahoma"/>
          <w:color w:val="44505D"/>
          <w:sz w:val="18"/>
          <w:szCs w:val="18"/>
        </w:rPr>
      </w:pPr>
      <w:r>
        <w:rPr>
          <w:color w:val="44505D"/>
        </w:rPr>
        <w:t>Porter's Five Forces: Focus on Higher Education Marketing. (2017, July 01). Retrieved September 24, 2017, from https://tempostrategic.com/porters-five-forces-impact-higher-education-marketing/</w:t>
      </w:r>
    </w:p>
    <w:p w:rsidR="004F4BB3" w:rsidRDefault="004F4BB3" w:rsidP="004F4BB3">
      <w:pPr>
        <w:pStyle w:val="a3"/>
        <w:shd w:val="clear" w:color="auto" w:fill="FFFFFF"/>
        <w:spacing w:before="0" w:beforeAutospacing="0" w:after="0" w:afterAutospacing="0" w:line="270" w:lineRule="atLeast"/>
        <w:ind w:left="360" w:hanging="360"/>
        <w:rPr>
          <w:rFonts w:ascii="Tahoma" w:hAnsi="Tahoma" w:cs="Tahoma"/>
          <w:color w:val="44505D"/>
          <w:sz w:val="18"/>
          <w:szCs w:val="18"/>
        </w:rPr>
      </w:pPr>
      <w:r>
        <w:rPr>
          <w:color w:val="44505D"/>
        </w:rPr>
        <w:t> King, Michael. (2017). A Strategic Assessment of The Higher Education Industry: Applying the Porter's Five Forces for Industry Analysis.</w:t>
      </w:r>
    </w:p>
    <w:p w:rsidR="004F4BB3" w:rsidRDefault="004F4BB3" w:rsidP="004F4BB3">
      <w:pPr>
        <w:pStyle w:val="a3"/>
        <w:shd w:val="clear" w:color="auto" w:fill="FFFFFF"/>
        <w:spacing w:before="0" w:beforeAutospacing="0" w:after="0" w:afterAutospacing="0" w:line="270" w:lineRule="atLeast"/>
        <w:ind w:left="360" w:hanging="360"/>
        <w:rPr>
          <w:rFonts w:ascii="Tahoma" w:hAnsi="Tahoma" w:cs="Tahoma"/>
          <w:color w:val="44505D"/>
          <w:sz w:val="18"/>
          <w:szCs w:val="18"/>
        </w:rPr>
      </w:pPr>
      <w:r>
        <w:rPr>
          <w:color w:val="44505D"/>
        </w:rPr>
        <w:t> Grant, R. M. &amp; Jordan, J. (2015). Foundations of strategy (2nd ed.). Hoboken, NJ: John Wiley &amp; Sons.</w:t>
      </w:r>
    </w:p>
    <w:p w:rsidR="004F4BB3" w:rsidRDefault="004F4BB3" w:rsidP="00653D8D">
      <w:pPr>
        <w:jc w:val="right"/>
      </w:pPr>
    </w:p>
    <w:p w:rsidR="004F4BB3" w:rsidRDefault="004F4BB3" w:rsidP="00653D8D">
      <w:pPr>
        <w:jc w:val="right"/>
      </w:pPr>
    </w:p>
    <w:p w:rsidR="004F4BB3" w:rsidRDefault="004F4BB3" w:rsidP="00653D8D">
      <w:pPr>
        <w:jc w:val="right"/>
      </w:pPr>
      <w:proofErr w:type="gramStart"/>
      <w:r>
        <w:t>Comment :</w:t>
      </w:r>
      <w:proofErr w:type="gramEnd"/>
    </w:p>
    <w:p w:rsidR="004F4BB3" w:rsidRPr="004F4BB3" w:rsidRDefault="004F4BB3" w:rsidP="00653D8D">
      <w:pPr>
        <w:jc w:val="right"/>
        <w:rPr>
          <w:rFonts w:hint="cs"/>
          <w:rtl/>
        </w:rPr>
      </w:pPr>
    </w:p>
    <w:sectPr w:rsidR="004F4BB3" w:rsidRPr="004F4BB3" w:rsidSect="00136D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1FB"/>
    <w:multiLevelType w:val="multilevel"/>
    <w:tmpl w:val="DBA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E45CA"/>
    <w:multiLevelType w:val="multilevel"/>
    <w:tmpl w:val="37C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A377E"/>
    <w:multiLevelType w:val="multilevel"/>
    <w:tmpl w:val="4C2E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E0A4B"/>
    <w:multiLevelType w:val="multilevel"/>
    <w:tmpl w:val="18F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4208D"/>
    <w:multiLevelType w:val="multilevel"/>
    <w:tmpl w:val="E520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1D6C30"/>
    <w:multiLevelType w:val="multilevel"/>
    <w:tmpl w:val="6BE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F55302"/>
    <w:multiLevelType w:val="multilevel"/>
    <w:tmpl w:val="6E08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A0915"/>
    <w:multiLevelType w:val="multilevel"/>
    <w:tmpl w:val="41EC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C561C"/>
    <w:multiLevelType w:val="multilevel"/>
    <w:tmpl w:val="5314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50B99"/>
    <w:multiLevelType w:val="multilevel"/>
    <w:tmpl w:val="1DE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BD6B5F"/>
    <w:multiLevelType w:val="multilevel"/>
    <w:tmpl w:val="C99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4"/>
  </w:num>
  <w:num w:numId="8">
    <w:abstractNumId w:val="10"/>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8D"/>
    <w:rsid w:val="00136DF7"/>
    <w:rsid w:val="004F4BB3"/>
    <w:rsid w:val="00653D8D"/>
    <w:rsid w:val="00656D8B"/>
    <w:rsid w:val="00C46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175C"/>
  <w15:chartTrackingRefBased/>
  <w15:docId w15:val="{F3A45A4C-5737-4363-8C6B-EB23AD01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D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53D8D"/>
    <w:rPr>
      <w:color w:val="0000FF"/>
      <w:u w:val="single"/>
    </w:rPr>
  </w:style>
  <w:style w:type="character" w:styleId="a4">
    <w:name w:val="Strong"/>
    <w:basedOn w:val="a0"/>
    <w:uiPriority w:val="22"/>
    <w:qFormat/>
    <w:rsid w:val="00653D8D"/>
    <w:rPr>
      <w:b/>
      <w:bCs/>
    </w:rPr>
  </w:style>
  <w:style w:type="character" w:styleId="a5">
    <w:name w:val="Emphasis"/>
    <w:basedOn w:val="a0"/>
    <w:uiPriority w:val="20"/>
    <w:qFormat/>
    <w:rsid w:val="00653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4241">
      <w:bodyDiv w:val="1"/>
      <w:marLeft w:val="0"/>
      <w:marRight w:val="0"/>
      <w:marTop w:val="0"/>
      <w:marBottom w:val="0"/>
      <w:divBdr>
        <w:top w:val="none" w:sz="0" w:space="0" w:color="auto"/>
        <w:left w:val="none" w:sz="0" w:space="0" w:color="auto"/>
        <w:bottom w:val="none" w:sz="0" w:space="0" w:color="auto"/>
        <w:right w:val="none" w:sz="0" w:space="0" w:color="auto"/>
      </w:divBdr>
    </w:div>
    <w:div w:id="1012534286">
      <w:bodyDiv w:val="1"/>
      <w:marLeft w:val="0"/>
      <w:marRight w:val="0"/>
      <w:marTop w:val="0"/>
      <w:marBottom w:val="0"/>
      <w:divBdr>
        <w:top w:val="none" w:sz="0" w:space="0" w:color="auto"/>
        <w:left w:val="none" w:sz="0" w:space="0" w:color="auto"/>
        <w:bottom w:val="none" w:sz="0" w:space="0" w:color="auto"/>
        <w:right w:val="none" w:sz="0" w:space="0" w:color="auto"/>
      </w:divBdr>
    </w:div>
    <w:div w:id="1258514198">
      <w:bodyDiv w:val="1"/>
      <w:marLeft w:val="0"/>
      <w:marRight w:val="0"/>
      <w:marTop w:val="0"/>
      <w:marBottom w:val="0"/>
      <w:divBdr>
        <w:top w:val="none" w:sz="0" w:space="0" w:color="auto"/>
        <w:left w:val="none" w:sz="0" w:space="0" w:color="auto"/>
        <w:bottom w:val="none" w:sz="0" w:space="0" w:color="auto"/>
        <w:right w:val="none" w:sz="0" w:space="0" w:color="auto"/>
      </w:divBdr>
    </w:div>
    <w:div w:id="1308361193">
      <w:bodyDiv w:val="1"/>
      <w:marLeft w:val="0"/>
      <w:marRight w:val="0"/>
      <w:marTop w:val="0"/>
      <w:marBottom w:val="0"/>
      <w:divBdr>
        <w:top w:val="none" w:sz="0" w:space="0" w:color="auto"/>
        <w:left w:val="none" w:sz="0" w:space="0" w:color="auto"/>
        <w:bottom w:val="none" w:sz="0" w:space="0" w:color="auto"/>
        <w:right w:val="none" w:sz="0" w:space="0" w:color="auto"/>
      </w:divBdr>
    </w:div>
    <w:div w:id="1404140553">
      <w:bodyDiv w:val="1"/>
      <w:marLeft w:val="0"/>
      <w:marRight w:val="0"/>
      <w:marTop w:val="0"/>
      <w:marBottom w:val="0"/>
      <w:divBdr>
        <w:top w:val="none" w:sz="0" w:space="0" w:color="auto"/>
        <w:left w:val="none" w:sz="0" w:space="0" w:color="auto"/>
        <w:bottom w:val="none" w:sz="0" w:space="0" w:color="auto"/>
        <w:right w:val="none" w:sz="0" w:space="0" w:color="auto"/>
      </w:divBdr>
    </w:div>
    <w:div w:id="1459104551">
      <w:bodyDiv w:val="1"/>
      <w:marLeft w:val="0"/>
      <w:marRight w:val="0"/>
      <w:marTop w:val="0"/>
      <w:marBottom w:val="0"/>
      <w:divBdr>
        <w:top w:val="none" w:sz="0" w:space="0" w:color="auto"/>
        <w:left w:val="none" w:sz="0" w:space="0" w:color="auto"/>
        <w:bottom w:val="none" w:sz="0" w:space="0" w:color="auto"/>
        <w:right w:val="none" w:sz="0" w:space="0" w:color="auto"/>
      </w:divBdr>
    </w:div>
    <w:div w:id="1582911775">
      <w:bodyDiv w:val="1"/>
      <w:marLeft w:val="0"/>
      <w:marRight w:val="0"/>
      <w:marTop w:val="0"/>
      <w:marBottom w:val="0"/>
      <w:divBdr>
        <w:top w:val="none" w:sz="0" w:space="0" w:color="auto"/>
        <w:left w:val="none" w:sz="0" w:space="0" w:color="auto"/>
        <w:bottom w:val="none" w:sz="0" w:space="0" w:color="auto"/>
        <w:right w:val="none" w:sz="0" w:space="0" w:color="auto"/>
      </w:divBdr>
    </w:div>
    <w:div w:id="1875575560">
      <w:bodyDiv w:val="1"/>
      <w:marLeft w:val="0"/>
      <w:marRight w:val="0"/>
      <w:marTop w:val="0"/>
      <w:marBottom w:val="0"/>
      <w:divBdr>
        <w:top w:val="none" w:sz="0" w:space="0" w:color="auto"/>
        <w:left w:val="none" w:sz="0" w:space="0" w:color="auto"/>
        <w:bottom w:val="none" w:sz="0" w:space="0" w:color="auto"/>
        <w:right w:val="none" w:sz="0" w:space="0" w:color="auto"/>
      </w:divBdr>
    </w:div>
    <w:div w:id="1926574233">
      <w:bodyDiv w:val="1"/>
      <w:marLeft w:val="0"/>
      <w:marRight w:val="0"/>
      <w:marTop w:val="0"/>
      <w:marBottom w:val="0"/>
      <w:divBdr>
        <w:top w:val="none" w:sz="0" w:space="0" w:color="auto"/>
        <w:left w:val="none" w:sz="0" w:space="0" w:color="auto"/>
        <w:bottom w:val="none" w:sz="0" w:space="0" w:color="auto"/>
        <w:right w:val="none" w:sz="0" w:space="0" w:color="auto"/>
      </w:divBdr>
    </w:div>
    <w:div w:id="2047832307">
      <w:bodyDiv w:val="1"/>
      <w:marLeft w:val="0"/>
      <w:marRight w:val="0"/>
      <w:marTop w:val="0"/>
      <w:marBottom w:val="0"/>
      <w:divBdr>
        <w:top w:val="none" w:sz="0" w:space="0" w:color="auto"/>
        <w:left w:val="none" w:sz="0" w:space="0" w:color="auto"/>
        <w:bottom w:val="none" w:sz="0" w:space="0" w:color="auto"/>
        <w:right w:val="none" w:sz="0" w:space="0" w:color="auto"/>
      </w:divBdr>
    </w:div>
    <w:div w:id="20960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ci.com/change-management/thought-leadership-library/change-management-process" TargetMode="External"/><Relationship Id="rId13" Type="http://schemas.openxmlformats.org/officeDocument/2006/relationships/hyperlink" Target="http://www.tandfonline.com/toc/uomj20/current" TargetMode="External"/><Relationship Id="rId18" Type="http://schemas.openxmlformats.org/officeDocument/2006/relationships/hyperlink" Target="http://www.kingdom.com.sa/about-us/our-vision" TargetMode="External"/><Relationship Id="rId3" Type="http://schemas.openxmlformats.org/officeDocument/2006/relationships/settings" Target="settings.xml"/><Relationship Id="rId7" Type="http://schemas.openxmlformats.org/officeDocument/2006/relationships/hyperlink" Target="https://www.accountingcoach.com/blog/product-costs-period-costs" TargetMode="External"/><Relationship Id="rId12" Type="http://schemas.openxmlformats.org/officeDocument/2006/relationships/hyperlink" Target="http://www.tandfonline.com/author/Bailey%2C+James+R" TargetMode="External"/><Relationship Id="rId17" Type="http://schemas.openxmlformats.org/officeDocument/2006/relationships/hyperlink" Target="http://www.kingdom.com.sa/kingdom-holding-khc-number-1-company-among-the-companies-with-non-governmental-stake-in-them" TargetMode="External"/><Relationship Id="rId2" Type="http://schemas.openxmlformats.org/officeDocument/2006/relationships/styles" Target="styles.xml"/><Relationship Id="rId16" Type="http://schemas.openxmlformats.org/officeDocument/2006/relationships/hyperlink" Target="http://www.saudiaramc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mplestudies.com/absorption-variable-throughput-costing.html" TargetMode="External"/><Relationship Id="rId11" Type="http://schemas.openxmlformats.org/officeDocument/2006/relationships/hyperlink" Target="https://www.torbenrick.eu/blog/change-management/communication-is-paramount-when-it-comes-to-change-management/" TargetMode="External"/><Relationship Id="rId5" Type="http://schemas.openxmlformats.org/officeDocument/2006/relationships/hyperlink" Target="http://digitalcommons.butler.edu/cob_papers/11" TargetMode="External"/><Relationship Id="rId15" Type="http://schemas.openxmlformats.org/officeDocument/2006/relationships/hyperlink" Target="http://www.rubbernews.com/article/20151007/NEWS/310059998" TargetMode="External"/><Relationship Id="rId10" Type="http://schemas.openxmlformats.org/officeDocument/2006/relationships/hyperlink" Target="https://www.torbenrick.eu/blog/performance-management/improving-performance-through-transparen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rbenrick.eu/blog/change-management/change-management-require-that-people-feel-the-problem/" TargetMode="External"/><Relationship Id="rId14" Type="http://schemas.openxmlformats.org/officeDocument/2006/relationships/hyperlink" Target="http://www.tandfonline.com/toc/uomj2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4081</Words>
  <Characters>23268</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2017-09-27T18:46:00Z</dcterms:created>
  <dcterms:modified xsi:type="dcterms:W3CDTF">2017-09-27T19:09:00Z</dcterms:modified>
</cp:coreProperties>
</file>