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6F718" w14:textId="77777777" w:rsidR="009A3BE0" w:rsidRDefault="009A3BE0">
      <w:pPr>
        <w:pStyle w:val="BodyText"/>
        <w:rPr>
          <w:rFonts w:hint="cs"/>
        </w:rPr>
      </w:pPr>
    </w:p>
    <w:p w14:paraId="42B23C2B" w14:textId="77777777" w:rsidR="009A3BE0" w:rsidRDefault="001D6407">
      <w:pPr>
        <w:pStyle w:val="Heading1"/>
        <w:ind w:left="3662"/>
      </w:pPr>
      <w:r>
        <w:t>Reading List</w:t>
      </w:r>
    </w:p>
    <w:p w14:paraId="61DC1D25" w14:textId="77777777" w:rsidR="009A3BE0" w:rsidRDefault="009A3BE0">
      <w:pPr>
        <w:pStyle w:val="BodyText"/>
        <w:spacing w:before="3"/>
        <w:rPr>
          <w:rFonts w:hint="cs"/>
          <w:sz w:val="34"/>
        </w:rPr>
      </w:pPr>
    </w:p>
    <w:p w14:paraId="54570954" w14:textId="23A94CBE" w:rsidR="009A3BE0" w:rsidRDefault="001D6407" w:rsidP="00B42394">
      <w:pPr>
        <w:pStyle w:val="Heading1"/>
        <w:ind w:left="0"/>
      </w:pPr>
      <w:r>
        <w:rPr>
          <w:u w:val="single"/>
        </w:rPr>
        <w:t>– The role of War in Modern History</w:t>
      </w:r>
    </w:p>
    <w:p w14:paraId="2A0DC325" w14:textId="77777777" w:rsidR="009A3BE0" w:rsidRDefault="001D6407">
      <w:pPr>
        <w:ind w:left="115"/>
        <w:rPr>
          <w:sz w:val="24"/>
        </w:rPr>
      </w:pPr>
      <w:r>
        <w:rPr>
          <w:sz w:val="24"/>
        </w:rPr>
        <w:t xml:space="preserve">*Kenneth Waltz, </w:t>
      </w:r>
      <w:r>
        <w:rPr>
          <w:i/>
          <w:sz w:val="24"/>
        </w:rPr>
        <w:t xml:space="preserve">Man, the State, and War, </w:t>
      </w:r>
      <w:r>
        <w:rPr>
          <w:sz w:val="24"/>
        </w:rPr>
        <w:t>Columbia University Press, 1 Jun. 2010.</w:t>
      </w:r>
    </w:p>
    <w:p w14:paraId="6D041DEF" w14:textId="77777777" w:rsidR="009A3BE0" w:rsidRDefault="001D6407">
      <w:pPr>
        <w:pStyle w:val="BodyText"/>
        <w:ind w:left="826"/>
      </w:pPr>
      <w:r>
        <w:t>Chapter 1: Introduction</w:t>
      </w:r>
    </w:p>
    <w:p w14:paraId="51FD3C34" w14:textId="77777777" w:rsidR="009A3BE0" w:rsidRDefault="001D6407">
      <w:pPr>
        <w:ind w:left="826" w:right="992" w:hanging="710"/>
        <w:rPr>
          <w:sz w:val="24"/>
        </w:rPr>
      </w:pPr>
      <w:r>
        <w:rPr>
          <w:sz w:val="24"/>
        </w:rPr>
        <w:t>*Ja</w:t>
      </w:r>
      <w:r>
        <w:rPr>
          <w:sz w:val="24"/>
        </w:rPr>
        <w:t xml:space="preserve">red Diamond, </w:t>
      </w:r>
      <w:r>
        <w:rPr>
          <w:i/>
          <w:sz w:val="24"/>
        </w:rPr>
        <w:t>Guns, Germs, and Steel: The Fates of Human Societies</w:t>
      </w:r>
      <w:r>
        <w:rPr>
          <w:sz w:val="24"/>
        </w:rPr>
        <w:t>. W. W. Norton &amp; Company, 2017</w:t>
      </w:r>
    </w:p>
    <w:p w14:paraId="7AFB83C2" w14:textId="77777777" w:rsidR="009A3BE0" w:rsidRDefault="001D6407">
      <w:pPr>
        <w:ind w:left="115"/>
        <w:rPr>
          <w:sz w:val="24"/>
        </w:rPr>
      </w:pPr>
      <w:r>
        <w:rPr>
          <w:sz w:val="24"/>
        </w:rPr>
        <w:t xml:space="preserve">Colin S. Gray, </w:t>
      </w:r>
      <w:r>
        <w:rPr>
          <w:i/>
          <w:sz w:val="24"/>
        </w:rPr>
        <w:t>War, Peace and International Relations: An Introduction to Strategic History</w:t>
      </w:r>
      <w:r>
        <w:rPr>
          <w:sz w:val="24"/>
        </w:rPr>
        <w:t>.</w:t>
      </w:r>
    </w:p>
    <w:p w14:paraId="1DFAA6C2" w14:textId="77777777" w:rsidR="009A3BE0" w:rsidRDefault="001D6407">
      <w:pPr>
        <w:pStyle w:val="BodyText"/>
        <w:ind w:left="826"/>
      </w:pPr>
      <w:r>
        <w:t>Routledge, London and New York: 2007. Introduction and Chapter 1</w:t>
      </w:r>
    </w:p>
    <w:p w14:paraId="33DC2EED" w14:textId="77777777" w:rsidR="009A3BE0" w:rsidRDefault="009A3BE0">
      <w:pPr>
        <w:pStyle w:val="BodyText"/>
        <w:spacing w:before="8"/>
      </w:pPr>
    </w:p>
    <w:p w14:paraId="21011AC2" w14:textId="77777777" w:rsidR="009A3BE0" w:rsidRDefault="001D6407">
      <w:pPr>
        <w:pStyle w:val="Heading1"/>
      </w:pPr>
      <w:r>
        <w:t>C</w:t>
      </w:r>
      <w:r>
        <w:t>ase: Sino-British Conflicts – Background information</w:t>
      </w:r>
    </w:p>
    <w:p w14:paraId="426C4417" w14:textId="77777777" w:rsidR="009A3BE0" w:rsidRDefault="001D6407">
      <w:pPr>
        <w:pStyle w:val="BodyText"/>
        <w:ind w:left="115"/>
      </w:pPr>
      <w:proofErr w:type="spellStart"/>
      <w:r>
        <w:t>Conor</w:t>
      </w:r>
      <w:proofErr w:type="spellEnd"/>
      <w:r>
        <w:t xml:space="preserve"> Sullivan, “War, drugs and deals: Sino-British encounters,” </w:t>
      </w:r>
      <w:r>
        <w:rPr>
          <w:i/>
        </w:rPr>
        <w:t xml:space="preserve">Financial Times, </w:t>
      </w:r>
      <w:r>
        <w:t>18 Oct 2015.</w:t>
      </w:r>
    </w:p>
    <w:p w14:paraId="4E7D085C" w14:textId="77777777" w:rsidR="009A3BE0" w:rsidRDefault="001D6407">
      <w:pPr>
        <w:pStyle w:val="BodyText"/>
        <w:ind w:left="115" w:right="903" w:firstLine="710"/>
      </w:pPr>
      <w:r>
        <w:t>&lt;https://</w:t>
      </w:r>
      <w:hyperlink r:id="rId6">
        <w:r>
          <w:t>www.ft.com/content/71198450-73f0-11e5-bdb1-e6e4767162cc?mhq5j=e5&gt;</w:t>
        </w:r>
      </w:hyperlink>
      <w:r>
        <w:t xml:space="preserve"> Henry Kissinger, </w:t>
      </w:r>
      <w:r>
        <w:rPr>
          <w:i/>
        </w:rPr>
        <w:t>On China</w:t>
      </w:r>
      <w:r>
        <w:t>, (Penguin UK, 2011) Chapter 1: The Singularity of China</w:t>
      </w:r>
    </w:p>
    <w:p w14:paraId="2DB6A1BE" w14:textId="77777777" w:rsidR="009A3BE0" w:rsidRDefault="001D6407">
      <w:pPr>
        <w:ind w:left="826" w:right="333" w:hanging="710"/>
        <w:rPr>
          <w:sz w:val="24"/>
        </w:rPr>
      </w:pPr>
      <w:r>
        <w:rPr>
          <w:sz w:val="24"/>
        </w:rPr>
        <w:t xml:space="preserve">John Darwin, “British decolonization since 1945: A pattern or a puzzle?” </w:t>
      </w:r>
      <w:r>
        <w:rPr>
          <w:i/>
          <w:sz w:val="24"/>
        </w:rPr>
        <w:t>The Journal of Imperial and Commonw</w:t>
      </w:r>
      <w:r>
        <w:rPr>
          <w:i/>
          <w:sz w:val="24"/>
        </w:rPr>
        <w:t>ealth History</w:t>
      </w:r>
      <w:r>
        <w:rPr>
          <w:sz w:val="24"/>
        </w:rPr>
        <w:t>, Vol. 12, 1984.</w:t>
      </w:r>
    </w:p>
    <w:p w14:paraId="5267B437" w14:textId="77777777" w:rsidR="009A3BE0" w:rsidRDefault="001D6407">
      <w:pPr>
        <w:pStyle w:val="BodyText"/>
        <w:ind w:left="826" w:right="1099" w:hanging="710"/>
      </w:pPr>
      <w:r>
        <w:t xml:space="preserve">David </w:t>
      </w:r>
      <w:proofErr w:type="spellStart"/>
      <w:r>
        <w:t>Strang</w:t>
      </w:r>
      <w:proofErr w:type="spellEnd"/>
      <w:r>
        <w:t xml:space="preserve">, “The Inner Incompatibility of Empire and Nation: Popular Sovereignty and Decolonization,” </w:t>
      </w:r>
      <w:r>
        <w:rPr>
          <w:i/>
        </w:rPr>
        <w:t>Sociological Perspectives</w:t>
      </w:r>
      <w:r>
        <w:t>, Vol. 35, No. 2, 1992</w:t>
      </w:r>
    </w:p>
    <w:p w14:paraId="6F7972AD" w14:textId="77777777" w:rsidR="009A3BE0" w:rsidRDefault="009A3BE0">
      <w:pPr>
        <w:pStyle w:val="BodyText"/>
        <w:rPr>
          <w:sz w:val="26"/>
        </w:rPr>
      </w:pPr>
    </w:p>
    <w:p w14:paraId="213148BE" w14:textId="77777777" w:rsidR="009A3BE0" w:rsidRDefault="009A3BE0">
      <w:pPr>
        <w:pStyle w:val="BodyText"/>
        <w:rPr>
          <w:sz w:val="22"/>
        </w:rPr>
      </w:pPr>
    </w:p>
    <w:p w14:paraId="7AC05818" w14:textId="30F1CB59" w:rsidR="009A3BE0" w:rsidRDefault="001D6407" w:rsidP="00B42394">
      <w:pPr>
        <w:pStyle w:val="Heading1"/>
        <w:ind w:left="0"/>
      </w:pPr>
      <w:r>
        <w:rPr>
          <w:u w:val="single"/>
        </w:rPr>
        <w:t>– Theories on War &amp; Peace II</w:t>
      </w:r>
    </w:p>
    <w:p w14:paraId="40007DF7" w14:textId="77777777" w:rsidR="009A3BE0" w:rsidRDefault="001D6407">
      <w:pPr>
        <w:pStyle w:val="BodyText"/>
        <w:ind w:left="1534" w:right="92" w:hanging="1418"/>
      </w:pPr>
      <w:r>
        <w:t xml:space="preserve">*John J. </w:t>
      </w:r>
      <w:proofErr w:type="spellStart"/>
      <w:r>
        <w:t>Mearsheimer</w:t>
      </w:r>
      <w:proofErr w:type="spellEnd"/>
      <w:r>
        <w:t xml:space="preserve">, "China's </w:t>
      </w:r>
      <w:proofErr w:type="spellStart"/>
      <w:r>
        <w:t>Un</w:t>
      </w:r>
      <w:r>
        <w:t>peaceful</w:t>
      </w:r>
      <w:proofErr w:type="spellEnd"/>
      <w:r>
        <w:t xml:space="preserve"> Rise," </w:t>
      </w:r>
      <w:r>
        <w:rPr>
          <w:i/>
        </w:rPr>
        <w:t>Current History</w:t>
      </w:r>
      <w:r>
        <w:t>, Vol. 105, No. 690 (April 2006), pp. 160-162.</w:t>
      </w:r>
    </w:p>
    <w:p w14:paraId="6DED4046" w14:textId="77777777" w:rsidR="009A3BE0" w:rsidRDefault="001D6407">
      <w:pPr>
        <w:spacing w:before="1"/>
        <w:ind w:left="115"/>
        <w:rPr>
          <w:sz w:val="24"/>
        </w:rPr>
      </w:pPr>
      <w:r>
        <w:rPr>
          <w:sz w:val="24"/>
        </w:rPr>
        <w:t xml:space="preserve">---------, </w:t>
      </w:r>
      <w:r>
        <w:rPr>
          <w:i/>
          <w:sz w:val="24"/>
        </w:rPr>
        <w:t xml:space="preserve">The Tragedy of Great Power Politics </w:t>
      </w:r>
      <w:r>
        <w:rPr>
          <w:sz w:val="24"/>
        </w:rPr>
        <w:t>(New York: Norton, 2001)</w:t>
      </w:r>
    </w:p>
    <w:p w14:paraId="41C7AB93" w14:textId="77777777" w:rsidR="009A3BE0" w:rsidRDefault="001D6407">
      <w:pPr>
        <w:pStyle w:val="BodyText"/>
        <w:ind w:left="826" w:right="472" w:hanging="710"/>
      </w:pPr>
      <w:r>
        <w:t xml:space="preserve">*Stephen M. Walt, “Explaining Alliance Formation,” </w:t>
      </w:r>
      <w:r>
        <w:rPr>
          <w:i/>
        </w:rPr>
        <w:t xml:space="preserve">The Origins of Alliances </w:t>
      </w:r>
      <w:r>
        <w:t>(Cornell: Cornell University Press, 1987), pp. 17-49</w:t>
      </w:r>
    </w:p>
    <w:p w14:paraId="240E00D8" w14:textId="77777777" w:rsidR="009A3BE0" w:rsidRDefault="001D6407">
      <w:pPr>
        <w:pStyle w:val="BodyText"/>
        <w:ind w:left="826" w:hanging="710"/>
      </w:pPr>
      <w:r>
        <w:t xml:space="preserve">Robert Ross, “Balance of Power Politics and the Rise of China: Accommodation and Balancing in East Asia.” </w:t>
      </w:r>
      <w:r>
        <w:rPr>
          <w:i/>
        </w:rPr>
        <w:t xml:space="preserve">Security Studies, </w:t>
      </w:r>
      <w:r>
        <w:t>July-September 2006, pp. 355-95</w:t>
      </w:r>
    </w:p>
    <w:p w14:paraId="48431B29" w14:textId="77777777" w:rsidR="009A3BE0" w:rsidRDefault="001D6407">
      <w:pPr>
        <w:pStyle w:val="Heading1"/>
        <w:spacing w:before="120"/>
      </w:pPr>
      <w:r>
        <w:t xml:space="preserve">Case: Sino-Soviet Relations – From WWII to the </w:t>
      </w:r>
      <w:r>
        <w:t>Cold War</w:t>
      </w:r>
    </w:p>
    <w:p w14:paraId="5175D2AE" w14:textId="77777777" w:rsidR="009A3BE0" w:rsidRDefault="001D6407">
      <w:pPr>
        <w:ind w:left="826" w:right="299" w:hanging="710"/>
        <w:rPr>
          <w:sz w:val="24"/>
        </w:rPr>
      </w:pPr>
      <w:r>
        <w:rPr>
          <w:sz w:val="24"/>
        </w:rPr>
        <w:t xml:space="preserve">*John W. </w:t>
      </w:r>
      <w:proofErr w:type="spellStart"/>
      <w:r>
        <w:rPr>
          <w:sz w:val="24"/>
        </w:rPr>
        <w:t>Garver</w:t>
      </w:r>
      <w:proofErr w:type="spellEnd"/>
      <w:r>
        <w:rPr>
          <w:sz w:val="24"/>
        </w:rPr>
        <w:t xml:space="preserve">, “Formation and Collapse of the Sino-Soviet Alliance,” </w:t>
      </w:r>
      <w:r>
        <w:rPr>
          <w:i/>
          <w:sz w:val="24"/>
        </w:rPr>
        <w:t>Foreign Relations of the People's Republic of China</w:t>
      </w:r>
      <w:r>
        <w:rPr>
          <w:sz w:val="24"/>
        </w:rPr>
        <w:t>, (Englewood Cliffs, N.J.: Prentice Hall, 1993), pp. 32-69</w:t>
      </w:r>
    </w:p>
    <w:p w14:paraId="30202E6F" w14:textId="77777777" w:rsidR="009A3BE0" w:rsidRDefault="009A3BE0">
      <w:pPr>
        <w:pStyle w:val="BodyText"/>
        <w:rPr>
          <w:sz w:val="26"/>
        </w:rPr>
      </w:pPr>
    </w:p>
    <w:p w14:paraId="5DA22E44" w14:textId="77777777" w:rsidR="009A3BE0" w:rsidRDefault="009A3BE0">
      <w:pPr>
        <w:pStyle w:val="BodyText"/>
        <w:rPr>
          <w:sz w:val="22"/>
        </w:rPr>
      </w:pPr>
    </w:p>
    <w:p w14:paraId="31D5CDA8" w14:textId="4712E342" w:rsidR="009A3BE0" w:rsidRDefault="001D6407" w:rsidP="00B42394">
      <w:pPr>
        <w:pStyle w:val="Heading1"/>
        <w:ind w:left="0"/>
      </w:pPr>
      <w:r>
        <w:rPr>
          <w:u w:val="single"/>
        </w:rPr>
        <w:t>– Theories on War &amp; Peace II</w:t>
      </w:r>
    </w:p>
    <w:p w14:paraId="723F6F88" w14:textId="77777777" w:rsidR="009A3BE0" w:rsidRDefault="001D6407">
      <w:pPr>
        <w:pStyle w:val="BodyText"/>
        <w:ind w:left="115"/>
      </w:pPr>
      <w:r>
        <w:t>*Gray, 2007. Chapter 2 – Carl von Clausewitz</w:t>
      </w:r>
    </w:p>
    <w:p w14:paraId="06A6BBE1" w14:textId="77777777" w:rsidR="009A3BE0" w:rsidRDefault="001D6407">
      <w:pPr>
        <w:pStyle w:val="BodyText"/>
        <w:ind w:left="115"/>
      </w:pPr>
      <w:r>
        <w:t>*</w:t>
      </w:r>
      <w:proofErr w:type="spellStart"/>
      <w:r>
        <w:t>Bruse</w:t>
      </w:r>
      <w:proofErr w:type="spellEnd"/>
      <w:r>
        <w:t xml:space="preserve"> </w:t>
      </w:r>
      <w:proofErr w:type="spellStart"/>
      <w:r>
        <w:t>Russett</w:t>
      </w:r>
      <w:proofErr w:type="spellEnd"/>
      <w:r>
        <w:t>, Christopher Layne, David E. Spiro and Michael W. Doyle, “The Democratic</w:t>
      </w:r>
    </w:p>
    <w:p w14:paraId="458269CD" w14:textId="77777777" w:rsidR="009A3BE0" w:rsidRDefault="009A3BE0">
      <w:pPr>
        <w:sectPr w:rsidR="009A3BE0">
          <w:footerReference w:type="default" r:id="rId7"/>
          <w:type w:val="continuous"/>
          <w:pgSz w:w="11900" w:h="16840"/>
          <w:pgMar w:top="1060" w:right="1020" w:bottom="1400" w:left="1020" w:header="720" w:footer="1212" w:gutter="0"/>
          <w:pgNumType w:start="1"/>
          <w:cols w:space="720"/>
        </w:sectPr>
      </w:pPr>
    </w:p>
    <w:p w14:paraId="3721A6C1" w14:textId="77777777" w:rsidR="009A3BE0" w:rsidRDefault="001D6407">
      <w:pPr>
        <w:spacing w:before="64"/>
        <w:ind w:left="826"/>
        <w:rPr>
          <w:sz w:val="24"/>
        </w:rPr>
      </w:pPr>
      <w:r>
        <w:rPr>
          <w:sz w:val="24"/>
        </w:rPr>
        <w:lastRenderedPageBreak/>
        <w:t xml:space="preserve">Peace,” </w:t>
      </w:r>
      <w:r>
        <w:rPr>
          <w:i/>
          <w:sz w:val="24"/>
        </w:rPr>
        <w:t>Inter</w:t>
      </w:r>
      <w:r>
        <w:rPr>
          <w:i/>
          <w:sz w:val="24"/>
        </w:rPr>
        <w:t xml:space="preserve">national Security, </w:t>
      </w:r>
      <w:r>
        <w:rPr>
          <w:sz w:val="24"/>
        </w:rPr>
        <w:t>Vol. 19, No. 4, 1995. pp. 164-184</w:t>
      </w:r>
    </w:p>
    <w:p w14:paraId="21070651" w14:textId="77777777" w:rsidR="009A3BE0" w:rsidRDefault="001D6407">
      <w:pPr>
        <w:pStyle w:val="BodyText"/>
        <w:ind w:left="826" w:hanging="710"/>
      </w:pPr>
      <w:r>
        <w:t xml:space="preserve">Robert E. Williams, Jr., and Dan Caldwell, “Jus Post Bellum: Just War Theory and the Principles of Just Peace,” </w:t>
      </w:r>
      <w:r>
        <w:rPr>
          <w:i/>
        </w:rPr>
        <w:t>International Studies Perspectives</w:t>
      </w:r>
      <w:r>
        <w:t>, Vol. 7, 2006 pp. 309-320</w:t>
      </w:r>
    </w:p>
    <w:p w14:paraId="258A20DA" w14:textId="77777777" w:rsidR="009A3BE0" w:rsidRDefault="001D6407">
      <w:pPr>
        <w:pStyle w:val="BodyText"/>
        <w:ind w:left="115"/>
      </w:pPr>
      <w:r>
        <w:t>James Pattison, “Just War Theo</w:t>
      </w:r>
      <w:r>
        <w:t>ry and the Privatization of Military Force,”</w:t>
      </w:r>
    </w:p>
    <w:p w14:paraId="3F1B135A" w14:textId="77777777" w:rsidR="009A3BE0" w:rsidRDefault="001D6407">
      <w:pPr>
        <w:ind w:left="826"/>
        <w:rPr>
          <w:sz w:val="24"/>
        </w:rPr>
      </w:pPr>
      <w:r>
        <w:rPr>
          <w:i/>
          <w:sz w:val="24"/>
        </w:rPr>
        <w:t>Ethics &amp; International Affairs</w:t>
      </w:r>
      <w:r>
        <w:rPr>
          <w:sz w:val="24"/>
        </w:rPr>
        <w:t>, 2008.</w:t>
      </w:r>
    </w:p>
    <w:p w14:paraId="0CC23A77" w14:textId="77777777" w:rsidR="009A3BE0" w:rsidRDefault="001D6407">
      <w:pPr>
        <w:pStyle w:val="BodyText"/>
        <w:ind w:left="115"/>
      </w:pPr>
      <w:r>
        <w:t xml:space="preserve">Jean </w:t>
      </w:r>
      <w:proofErr w:type="spellStart"/>
      <w:r>
        <w:t>Bethke</w:t>
      </w:r>
      <w:proofErr w:type="spellEnd"/>
      <w:r>
        <w:t xml:space="preserve"> </w:t>
      </w:r>
      <w:proofErr w:type="spellStart"/>
      <w:r>
        <w:t>Elshtain</w:t>
      </w:r>
      <w:proofErr w:type="spellEnd"/>
      <w:r>
        <w:t>, “Just War and Humanitarian Intervention,”</w:t>
      </w:r>
    </w:p>
    <w:p w14:paraId="1249A7BF" w14:textId="77777777" w:rsidR="009A3BE0" w:rsidRDefault="001D6407">
      <w:pPr>
        <w:ind w:left="826"/>
        <w:rPr>
          <w:sz w:val="24"/>
        </w:rPr>
      </w:pPr>
      <w:r>
        <w:rPr>
          <w:i/>
          <w:sz w:val="24"/>
        </w:rPr>
        <w:t xml:space="preserve">American University International Law Review, </w:t>
      </w:r>
      <w:r>
        <w:rPr>
          <w:sz w:val="24"/>
        </w:rPr>
        <w:t>Vol. 17, Issue. 1, 2001</w:t>
      </w:r>
    </w:p>
    <w:p w14:paraId="2EB50CED" w14:textId="77777777" w:rsidR="009A3BE0" w:rsidRDefault="009A3BE0">
      <w:pPr>
        <w:pStyle w:val="BodyText"/>
      </w:pPr>
    </w:p>
    <w:p w14:paraId="72BD9EF6" w14:textId="77777777" w:rsidR="009A3BE0" w:rsidRDefault="001D6407">
      <w:pPr>
        <w:pStyle w:val="Heading1"/>
      </w:pPr>
      <w:r>
        <w:t>Case: Limits of Rational Choice Theory</w:t>
      </w:r>
      <w:r>
        <w:t xml:space="preserve"> &amp; The Cuban Missile Crisis</w:t>
      </w:r>
    </w:p>
    <w:p w14:paraId="6F882C6A" w14:textId="77777777" w:rsidR="009A3BE0" w:rsidRDefault="001D6407">
      <w:pPr>
        <w:ind w:left="1534" w:right="505" w:hanging="1418"/>
        <w:rPr>
          <w:i/>
          <w:sz w:val="24"/>
        </w:rPr>
      </w:pPr>
      <w:r>
        <w:rPr>
          <w:b/>
          <w:i/>
          <w:sz w:val="24"/>
        </w:rPr>
        <w:t>*</w:t>
      </w:r>
      <w:r>
        <w:rPr>
          <w:sz w:val="24"/>
        </w:rPr>
        <w:t xml:space="preserve">Graham T. Allison, “Conceptual models and the Cuban missile crisis,” </w:t>
      </w:r>
      <w:r>
        <w:rPr>
          <w:i/>
          <w:sz w:val="24"/>
        </w:rPr>
        <w:t xml:space="preserve">The American Political Science Review, </w:t>
      </w:r>
      <w:r>
        <w:rPr>
          <w:sz w:val="24"/>
        </w:rPr>
        <w:t>1969, vol. 63, no 3, pp. 689-718</w:t>
      </w:r>
      <w:r>
        <w:rPr>
          <w:i/>
          <w:sz w:val="24"/>
        </w:rPr>
        <w:t>.</w:t>
      </w:r>
    </w:p>
    <w:p w14:paraId="561CD1D2" w14:textId="77777777" w:rsidR="009A3BE0" w:rsidRDefault="009A3BE0">
      <w:pPr>
        <w:pStyle w:val="BodyText"/>
        <w:rPr>
          <w:i/>
          <w:sz w:val="26"/>
        </w:rPr>
      </w:pPr>
    </w:p>
    <w:p w14:paraId="2AAA541C" w14:textId="77777777" w:rsidR="009A3BE0" w:rsidRDefault="009A3BE0">
      <w:pPr>
        <w:pStyle w:val="BodyText"/>
        <w:spacing w:before="8"/>
        <w:rPr>
          <w:i/>
          <w:sz w:val="22"/>
        </w:rPr>
      </w:pPr>
    </w:p>
    <w:p w14:paraId="63698272" w14:textId="3AA53138" w:rsidR="009A3BE0" w:rsidRDefault="001D6407" w:rsidP="00B42394">
      <w:pPr>
        <w:pStyle w:val="Heading1"/>
        <w:ind w:left="0"/>
      </w:pPr>
      <w:r>
        <w:rPr>
          <w:u w:val="single"/>
        </w:rPr>
        <w:t>– Territorial Sovereignty &amp; Disputes</w:t>
      </w:r>
    </w:p>
    <w:p w14:paraId="61BE4C2B" w14:textId="77777777" w:rsidR="009A3BE0" w:rsidRDefault="001D6407">
      <w:pPr>
        <w:pStyle w:val="BodyText"/>
        <w:ind w:left="115" w:right="192"/>
      </w:pPr>
      <w:r>
        <w:t xml:space="preserve">*M. Taylor </w:t>
      </w:r>
      <w:proofErr w:type="spellStart"/>
      <w:r>
        <w:t>Fravel</w:t>
      </w:r>
      <w:proofErr w:type="spellEnd"/>
      <w:r>
        <w:t xml:space="preserve">, “Regime Insecurity and International Cooperation: Explaining China's Compromises in Territorial Disputes,” </w:t>
      </w:r>
      <w:r>
        <w:rPr>
          <w:i/>
        </w:rPr>
        <w:t>International Security</w:t>
      </w:r>
      <w:r>
        <w:t>, Vol. 30, No. 2 (Fall 2005), pp. 46-83</w:t>
      </w:r>
    </w:p>
    <w:p w14:paraId="5C7CF805" w14:textId="77777777" w:rsidR="009A3BE0" w:rsidRDefault="001D6407">
      <w:pPr>
        <w:pStyle w:val="BodyText"/>
        <w:ind w:left="115"/>
      </w:pPr>
      <w:r>
        <w:t>*-------, “Power Shifts and Escalation: Explaining China's Use of Fo</w:t>
      </w:r>
      <w:r>
        <w:t>rce in Territorial Disputes,”</w:t>
      </w:r>
    </w:p>
    <w:p w14:paraId="4143AEF5" w14:textId="77777777" w:rsidR="009A3BE0" w:rsidRDefault="001D6407">
      <w:pPr>
        <w:ind w:left="115"/>
        <w:rPr>
          <w:sz w:val="24"/>
        </w:rPr>
      </w:pPr>
      <w:r>
        <w:rPr>
          <w:i/>
          <w:sz w:val="24"/>
        </w:rPr>
        <w:t>International Security</w:t>
      </w:r>
      <w:r>
        <w:rPr>
          <w:sz w:val="24"/>
        </w:rPr>
        <w:t>, Vol. 32, No. 3 (Winter 2007/2008), pp. 44-83</w:t>
      </w:r>
    </w:p>
    <w:p w14:paraId="5C9BD05B" w14:textId="77777777" w:rsidR="009A3BE0" w:rsidRDefault="001D6407">
      <w:pPr>
        <w:pStyle w:val="Heading1"/>
        <w:spacing w:before="120"/>
      </w:pPr>
      <w:r>
        <w:t>Case: South China Sea</w:t>
      </w:r>
    </w:p>
    <w:p w14:paraId="60952DB7" w14:textId="77777777" w:rsidR="009A3BE0" w:rsidRDefault="001D6407">
      <w:pPr>
        <w:pStyle w:val="BodyText"/>
        <w:ind w:left="115"/>
      </w:pPr>
      <w:r>
        <w:t>United Nations Convention on the Law of the Sea</w:t>
      </w:r>
    </w:p>
    <w:p w14:paraId="5607AC95" w14:textId="77777777" w:rsidR="009A3BE0" w:rsidRDefault="001D6407">
      <w:pPr>
        <w:pStyle w:val="BodyText"/>
        <w:ind w:left="115"/>
      </w:pPr>
      <w:r>
        <w:t>&lt;</w:t>
      </w:r>
      <w:hyperlink r:id="rId8">
        <w:r>
          <w:t>http://www.un.org/depts/los/convention_agreements/convention_overview_convention.htm</w:t>
        </w:r>
      </w:hyperlink>
      <w:r>
        <w:t>&gt;</w:t>
      </w:r>
    </w:p>
    <w:p w14:paraId="7F74A791" w14:textId="77777777" w:rsidR="009A3BE0" w:rsidRDefault="001D6407">
      <w:pPr>
        <w:ind w:left="826" w:right="378" w:hanging="710"/>
        <w:rPr>
          <w:i/>
          <w:sz w:val="24"/>
        </w:rPr>
      </w:pPr>
      <w:r>
        <w:rPr>
          <w:sz w:val="24"/>
        </w:rPr>
        <w:t xml:space="preserve">M. Taylor </w:t>
      </w:r>
      <w:proofErr w:type="spellStart"/>
      <w:r>
        <w:rPr>
          <w:sz w:val="24"/>
        </w:rPr>
        <w:t>Fravel</w:t>
      </w:r>
      <w:proofErr w:type="spellEnd"/>
      <w:r>
        <w:rPr>
          <w:sz w:val="24"/>
        </w:rPr>
        <w:t xml:space="preserve">, Policy Report - </w:t>
      </w:r>
      <w:r>
        <w:rPr>
          <w:i/>
          <w:sz w:val="24"/>
        </w:rPr>
        <w:t>U.S. Policy Towards the Disputes in the South China Sea since 1995,</w:t>
      </w:r>
    </w:p>
    <w:p w14:paraId="394D64E8" w14:textId="77777777" w:rsidR="009A3BE0" w:rsidRDefault="001D6407">
      <w:pPr>
        <w:pStyle w:val="BodyText"/>
        <w:ind w:left="115"/>
      </w:pPr>
      <w:r>
        <w:t>https://</w:t>
      </w:r>
      <w:hyperlink r:id="rId9">
        <w:r>
          <w:t>www.rsis.edu.sg/wp-content/uploads/2014/11/PR140330_US_Policy_Towards_Disputes.pdf</w:t>
        </w:r>
      </w:hyperlink>
    </w:p>
    <w:p w14:paraId="6924DC3D" w14:textId="77777777" w:rsidR="009A3BE0" w:rsidRDefault="001D6407">
      <w:pPr>
        <w:ind w:left="826" w:right="665" w:hanging="710"/>
        <w:rPr>
          <w:sz w:val="24"/>
        </w:rPr>
      </w:pPr>
      <w:r>
        <w:rPr>
          <w:sz w:val="24"/>
        </w:rPr>
        <w:t xml:space="preserve">L. </w:t>
      </w:r>
      <w:proofErr w:type="spellStart"/>
      <w:r>
        <w:rPr>
          <w:sz w:val="24"/>
        </w:rPr>
        <w:t>Buszynski</w:t>
      </w:r>
      <w:proofErr w:type="spellEnd"/>
      <w:r>
        <w:rPr>
          <w:sz w:val="24"/>
        </w:rPr>
        <w:t xml:space="preserve">, “ASEAN, the declaration on conduct, and the South China Sea,” </w:t>
      </w:r>
      <w:r>
        <w:rPr>
          <w:i/>
          <w:sz w:val="24"/>
        </w:rPr>
        <w:t>Contemporary Southeast Asia</w:t>
      </w:r>
      <w:r>
        <w:rPr>
          <w:sz w:val="24"/>
        </w:rPr>
        <w:t>, 2</w:t>
      </w:r>
      <w:r>
        <w:rPr>
          <w:sz w:val="24"/>
        </w:rPr>
        <w:t>003.</w:t>
      </w:r>
    </w:p>
    <w:p w14:paraId="462206B2" w14:textId="77777777" w:rsidR="009A3BE0" w:rsidRDefault="009A3BE0">
      <w:pPr>
        <w:pStyle w:val="BodyText"/>
        <w:rPr>
          <w:sz w:val="26"/>
        </w:rPr>
      </w:pPr>
    </w:p>
    <w:p w14:paraId="2267C224" w14:textId="77777777" w:rsidR="009A3BE0" w:rsidRDefault="009A3BE0">
      <w:pPr>
        <w:pStyle w:val="BodyText"/>
        <w:rPr>
          <w:sz w:val="22"/>
        </w:rPr>
      </w:pPr>
    </w:p>
    <w:p w14:paraId="018FB300" w14:textId="6E5E0DCE" w:rsidR="009A3BE0" w:rsidRDefault="001D6407" w:rsidP="00B42394">
      <w:pPr>
        <w:pStyle w:val="Heading1"/>
        <w:ind w:left="0"/>
      </w:pPr>
      <w:r>
        <w:rPr>
          <w:u w:val="single"/>
        </w:rPr>
        <w:t>– UN Security Council &amp; The Evolution of UN Peacekeeping Operations</w:t>
      </w:r>
    </w:p>
    <w:p w14:paraId="00D2CB44" w14:textId="77777777" w:rsidR="009A3BE0" w:rsidRDefault="001D6407">
      <w:pPr>
        <w:ind w:left="826" w:right="1212" w:hanging="710"/>
        <w:rPr>
          <w:sz w:val="24"/>
        </w:rPr>
      </w:pPr>
      <w:r>
        <w:rPr>
          <w:sz w:val="24"/>
        </w:rPr>
        <w:t xml:space="preserve">*Thomas Weiss and Ramesh Thakur, </w:t>
      </w:r>
      <w:r>
        <w:rPr>
          <w:i/>
          <w:sz w:val="24"/>
        </w:rPr>
        <w:t>Global Governance and the UN</w:t>
      </w:r>
      <w:r>
        <w:rPr>
          <w:sz w:val="24"/>
        </w:rPr>
        <w:t>, Bloomington and Indianapolis: Indiana University Press, 2010,</w:t>
      </w:r>
    </w:p>
    <w:p w14:paraId="31CC8F07" w14:textId="77777777" w:rsidR="009A3BE0" w:rsidRDefault="001D6407">
      <w:pPr>
        <w:ind w:left="115" w:right="244" w:firstLine="710"/>
        <w:rPr>
          <w:i/>
          <w:sz w:val="24"/>
        </w:rPr>
      </w:pPr>
      <w:r>
        <w:rPr>
          <w:sz w:val="24"/>
        </w:rPr>
        <w:t xml:space="preserve">Chapter 2 - “The Use of Force: War, Collective Security, and Peace Operations,” pp. 55-89 Andrew </w:t>
      </w:r>
      <w:proofErr w:type="spellStart"/>
      <w:r>
        <w:rPr>
          <w:sz w:val="24"/>
        </w:rPr>
        <w:t>Clapham</w:t>
      </w:r>
      <w:proofErr w:type="spellEnd"/>
      <w:r>
        <w:rPr>
          <w:sz w:val="24"/>
        </w:rPr>
        <w:t xml:space="preserve"> and Paola Gaeta, eds. </w:t>
      </w:r>
      <w:r>
        <w:rPr>
          <w:i/>
          <w:sz w:val="24"/>
        </w:rPr>
        <w:t>The Oxford handbook of international law in armed</w:t>
      </w:r>
    </w:p>
    <w:p w14:paraId="0F97BBAD" w14:textId="77777777" w:rsidR="009A3BE0" w:rsidRDefault="001D6407">
      <w:pPr>
        <w:pStyle w:val="BodyText"/>
        <w:ind w:left="826"/>
      </w:pPr>
      <w:r>
        <w:rPr>
          <w:i/>
        </w:rPr>
        <w:t>conflict</w:t>
      </w:r>
      <w:r>
        <w:t>. (Oxford University Press, 2014) Chapter 9 – The Law Applicable to Pea</w:t>
      </w:r>
      <w:r>
        <w:t>ce Operations</w:t>
      </w:r>
    </w:p>
    <w:p w14:paraId="4B07828C" w14:textId="77777777" w:rsidR="009A3BE0" w:rsidRDefault="009A3BE0">
      <w:pPr>
        <w:pStyle w:val="BodyText"/>
      </w:pPr>
    </w:p>
    <w:p w14:paraId="7A281ADF" w14:textId="77777777" w:rsidR="009A3BE0" w:rsidRDefault="001D6407">
      <w:pPr>
        <w:pStyle w:val="Heading1"/>
      </w:pPr>
      <w:r>
        <w:t>Case: Rwanda</w:t>
      </w:r>
    </w:p>
    <w:p w14:paraId="6F9BD5A5" w14:textId="77777777" w:rsidR="009A3BE0" w:rsidRDefault="001D6407">
      <w:pPr>
        <w:spacing w:before="1"/>
        <w:ind w:left="826" w:right="225" w:hanging="710"/>
        <w:rPr>
          <w:sz w:val="24"/>
        </w:rPr>
      </w:pPr>
      <w:r>
        <w:rPr>
          <w:sz w:val="24"/>
        </w:rPr>
        <w:t xml:space="preserve">Romeo </w:t>
      </w:r>
      <w:proofErr w:type="spellStart"/>
      <w:r>
        <w:rPr>
          <w:sz w:val="24"/>
        </w:rPr>
        <w:t>Dallaire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>Shake hands with the devil: The failure of humanity in Rwanda</w:t>
      </w:r>
      <w:r>
        <w:rPr>
          <w:sz w:val="24"/>
        </w:rPr>
        <w:t>. (Vintage Canada, 2009)</w:t>
      </w:r>
    </w:p>
    <w:p w14:paraId="486005DD" w14:textId="77777777" w:rsidR="009A3BE0" w:rsidRDefault="001D6407">
      <w:pPr>
        <w:ind w:left="826" w:hanging="710"/>
        <w:rPr>
          <w:sz w:val="24"/>
        </w:rPr>
      </w:pPr>
      <w:r>
        <w:rPr>
          <w:sz w:val="24"/>
        </w:rPr>
        <w:t xml:space="preserve">Michael Barnett, </w:t>
      </w:r>
      <w:r>
        <w:rPr>
          <w:i/>
          <w:sz w:val="24"/>
        </w:rPr>
        <w:t xml:space="preserve">Eyewitness to a genocide: </w:t>
      </w:r>
      <w:proofErr w:type="gramStart"/>
      <w:r>
        <w:rPr>
          <w:i/>
          <w:sz w:val="24"/>
        </w:rPr>
        <w:t>the</w:t>
      </w:r>
      <w:proofErr w:type="gramEnd"/>
      <w:r>
        <w:rPr>
          <w:i/>
          <w:sz w:val="24"/>
        </w:rPr>
        <w:t xml:space="preserve"> United Nations and Rwanda. </w:t>
      </w:r>
      <w:r>
        <w:rPr>
          <w:sz w:val="24"/>
        </w:rPr>
        <w:t>(Cornell University Press, 2002)</w:t>
      </w:r>
    </w:p>
    <w:p w14:paraId="26CDD0EB" w14:textId="77777777" w:rsidR="009A3BE0" w:rsidRDefault="001D6407">
      <w:pPr>
        <w:pStyle w:val="BodyText"/>
        <w:ind w:left="826" w:right="1287" w:hanging="710"/>
      </w:pPr>
      <w:r>
        <w:t xml:space="preserve">*----------, ''The </w:t>
      </w:r>
      <w:r>
        <w:t xml:space="preserve">UN Security Council, Indifference, and Genocide in Rwanda,'' </w:t>
      </w:r>
      <w:r>
        <w:rPr>
          <w:i/>
        </w:rPr>
        <w:t>Cultural Anthropology</w:t>
      </w:r>
      <w:r>
        <w:t>, Issue 12, Vol. 1, 1997. pp. 551-78</w:t>
      </w:r>
    </w:p>
    <w:p w14:paraId="40D494D9" w14:textId="77777777" w:rsidR="009A3BE0" w:rsidRDefault="009A3BE0">
      <w:pPr>
        <w:pStyle w:val="BodyText"/>
        <w:rPr>
          <w:sz w:val="26"/>
        </w:rPr>
      </w:pPr>
    </w:p>
    <w:p w14:paraId="365F1BA1" w14:textId="29447739" w:rsidR="009A3BE0" w:rsidRDefault="001D6407" w:rsidP="00B42394">
      <w:pPr>
        <w:pStyle w:val="Heading1"/>
        <w:spacing w:before="217"/>
        <w:ind w:left="0"/>
      </w:pPr>
      <w:r>
        <w:rPr>
          <w:u w:val="single"/>
        </w:rPr>
        <w:t xml:space="preserve">– Principles of The Laws </w:t>
      </w:r>
      <w:proofErr w:type="spellStart"/>
      <w:r>
        <w:rPr>
          <w:u w:val="single"/>
        </w:rPr>
        <w:t>fo</w:t>
      </w:r>
      <w:proofErr w:type="spellEnd"/>
      <w:r>
        <w:rPr>
          <w:u w:val="single"/>
        </w:rPr>
        <w:t xml:space="preserve"> War I – Military Interventions</w:t>
      </w:r>
    </w:p>
    <w:p w14:paraId="79B3BE4F" w14:textId="77777777" w:rsidR="009A3BE0" w:rsidRDefault="001D6407">
      <w:pPr>
        <w:pStyle w:val="BodyText"/>
        <w:ind w:left="115"/>
      </w:pPr>
      <w:r>
        <w:t>*Weiss and Thakur, 2010. Chapter. 10 - “The Responsibility to Prote</w:t>
      </w:r>
      <w:r>
        <w:t>ct,” pp. 308-340</w:t>
      </w:r>
    </w:p>
    <w:p w14:paraId="7F98E032" w14:textId="77777777" w:rsidR="009A3BE0" w:rsidRDefault="001D6407">
      <w:pPr>
        <w:ind w:left="676" w:right="1127" w:hanging="560"/>
        <w:rPr>
          <w:sz w:val="24"/>
        </w:rPr>
      </w:pPr>
      <w:r>
        <w:rPr>
          <w:i/>
        </w:rPr>
        <w:t xml:space="preserve">* </w:t>
      </w:r>
      <w:r>
        <w:rPr>
          <w:sz w:val="24"/>
        </w:rPr>
        <w:t xml:space="preserve">Andrew </w:t>
      </w:r>
      <w:proofErr w:type="spellStart"/>
      <w:r>
        <w:rPr>
          <w:sz w:val="24"/>
        </w:rPr>
        <w:t>Clapham</w:t>
      </w:r>
      <w:proofErr w:type="spellEnd"/>
      <w:r>
        <w:rPr>
          <w:sz w:val="24"/>
        </w:rPr>
        <w:t xml:space="preserve"> and Paola Gaeta, </w:t>
      </w:r>
      <w:r>
        <w:rPr>
          <w:i/>
          <w:sz w:val="24"/>
        </w:rPr>
        <w:t xml:space="preserve">The Oxford handbook of international law in armed conflict, </w:t>
      </w:r>
      <w:r>
        <w:rPr>
          <w:sz w:val="24"/>
        </w:rPr>
        <w:t>2014. Chapter 1, Part IV, and Chapter 29.</w:t>
      </w:r>
    </w:p>
    <w:p w14:paraId="26DDD5FA" w14:textId="77777777" w:rsidR="009A3BE0" w:rsidRDefault="009A3BE0">
      <w:pPr>
        <w:rPr>
          <w:sz w:val="24"/>
        </w:rPr>
        <w:sectPr w:rsidR="009A3BE0">
          <w:pgSz w:w="11900" w:h="16840"/>
          <w:pgMar w:top="1060" w:right="1020" w:bottom="1400" w:left="1020" w:header="0" w:footer="1212" w:gutter="0"/>
          <w:cols w:space="720"/>
        </w:sectPr>
      </w:pPr>
    </w:p>
    <w:p w14:paraId="27669C62" w14:textId="77777777" w:rsidR="009A3BE0" w:rsidRDefault="001D6407">
      <w:pPr>
        <w:pStyle w:val="Heading1"/>
        <w:spacing w:before="64"/>
      </w:pPr>
      <w:r>
        <w:lastRenderedPageBreak/>
        <w:t>Case: Kosovo</w:t>
      </w:r>
    </w:p>
    <w:p w14:paraId="268A16CC" w14:textId="77777777" w:rsidR="009A3BE0" w:rsidRDefault="001D6407">
      <w:pPr>
        <w:ind w:left="676" w:right="299" w:hanging="560"/>
        <w:rPr>
          <w:sz w:val="24"/>
        </w:rPr>
      </w:pPr>
      <w:proofErr w:type="spellStart"/>
      <w:r>
        <w:rPr>
          <w:sz w:val="24"/>
        </w:rPr>
        <w:t>Corneliu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Bjola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Legitimising</w:t>
      </w:r>
      <w:proofErr w:type="spellEnd"/>
      <w:r>
        <w:rPr>
          <w:i/>
          <w:sz w:val="24"/>
        </w:rPr>
        <w:t xml:space="preserve"> the use of force in international politics:</w:t>
      </w:r>
      <w:r>
        <w:rPr>
          <w:i/>
          <w:sz w:val="24"/>
        </w:rPr>
        <w:t xml:space="preserve"> Kosovo, Iraq and the ethics of intervention</w:t>
      </w:r>
      <w:r>
        <w:rPr>
          <w:sz w:val="24"/>
        </w:rPr>
        <w:t>. (Routledge, 2009)</w:t>
      </w:r>
    </w:p>
    <w:p w14:paraId="1A99569F" w14:textId="77777777" w:rsidR="009A3BE0" w:rsidRDefault="009A3BE0">
      <w:pPr>
        <w:pStyle w:val="BodyText"/>
        <w:rPr>
          <w:sz w:val="26"/>
        </w:rPr>
      </w:pPr>
    </w:p>
    <w:p w14:paraId="079CC252" w14:textId="77777777" w:rsidR="009A3BE0" w:rsidRDefault="009A3BE0">
      <w:pPr>
        <w:pStyle w:val="BodyText"/>
        <w:rPr>
          <w:sz w:val="22"/>
        </w:rPr>
      </w:pPr>
    </w:p>
    <w:p w14:paraId="23D76BE1" w14:textId="429E8206" w:rsidR="009A3BE0" w:rsidRDefault="001D6407" w:rsidP="00B42394">
      <w:pPr>
        <w:pStyle w:val="Heading1"/>
        <w:ind w:left="0"/>
      </w:pPr>
      <w:r>
        <w:rPr>
          <w:u w:val="single"/>
        </w:rPr>
        <w:t>– The Laws of War II – Prohibited Weapons</w:t>
      </w:r>
    </w:p>
    <w:p w14:paraId="1A525109" w14:textId="77777777" w:rsidR="009A3BE0" w:rsidRDefault="001D6407">
      <w:pPr>
        <w:pStyle w:val="BodyText"/>
        <w:ind w:left="115"/>
      </w:pPr>
      <w:r>
        <w:t>*Weiss and Thakur, 2010. Chapter. 3 - “Arms Control and Disarmament,” pp. 90-127</w:t>
      </w:r>
    </w:p>
    <w:p w14:paraId="62FB85E2" w14:textId="77777777" w:rsidR="009A3BE0" w:rsidRDefault="001D6407">
      <w:pPr>
        <w:ind w:left="826" w:right="241" w:hanging="710"/>
        <w:jc w:val="both"/>
        <w:rPr>
          <w:sz w:val="24"/>
        </w:rPr>
      </w:pPr>
      <w:r>
        <w:rPr>
          <w:sz w:val="24"/>
        </w:rPr>
        <w:t xml:space="preserve">Gary D. Solis, </w:t>
      </w:r>
      <w:r>
        <w:rPr>
          <w:i/>
          <w:sz w:val="24"/>
        </w:rPr>
        <w:t xml:space="preserve">The Law of Armed Conflict – International Humanitarian Law in War, </w:t>
      </w:r>
      <w:r>
        <w:rPr>
          <w:sz w:val="24"/>
        </w:rPr>
        <w:t>(Cambridge: Cambridge University Press, 2016) Chapter 19 – The 1980 Certain Conventional Weapons Convention, and Chapter 20 – Gas, Biological, and Chemical Weapons Treaties.</w:t>
      </w:r>
    </w:p>
    <w:p w14:paraId="664C111B" w14:textId="77777777" w:rsidR="009A3BE0" w:rsidRDefault="001D6407">
      <w:pPr>
        <w:pStyle w:val="BodyText"/>
        <w:ind w:left="115"/>
      </w:pPr>
      <w:r>
        <w:t>*Gray, 2007. Ch</w:t>
      </w:r>
      <w:r>
        <w:t>apter 15 – The Cold War, II: the nuclear revolution. pp. 231-244</w:t>
      </w:r>
    </w:p>
    <w:p w14:paraId="0F392921" w14:textId="77777777" w:rsidR="009A3BE0" w:rsidRDefault="009A3BE0">
      <w:pPr>
        <w:pStyle w:val="BodyText"/>
        <w:rPr>
          <w:sz w:val="26"/>
        </w:rPr>
      </w:pPr>
    </w:p>
    <w:p w14:paraId="1EEB952E" w14:textId="77777777" w:rsidR="009A3BE0" w:rsidRDefault="009A3BE0">
      <w:pPr>
        <w:pStyle w:val="BodyText"/>
        <w:rPr>
          <w:sz w:val="22"/>
        </w:rPr>
      </w:pPr>
    </w:p>
    <w:p w14:paraId="4EC6D668" w14:textId="55EF027C" w:rsidR="009A3BE0" w:rsidRDefault="001D6407" w:rsidP="00B42394">
      <w:pPr>
        <w:pStyle w:val="Heading1"/>
        <w:ind w:left="0"/>
      </w:pPr>
      <w:r>
        <w:rPr>
          <w:u w:val="single"/>
        </w:rPr>
        <w:t>– Reducing and Mitigating Harm in Armed Conflicts – The role of international</w:t>
      </w:r>
      <w:r>
        <w:t xml:space="preserve"> </w:t>
      </w:r>
      <w:r>
        <w:rPr>
          <w:u w:val="single"/>
        </w:rPr>
        <w:t>organizations and civil society</w:t>
      </w:r>
    </w:p>
    <w:p w14:paraId="3D1C45AC" w14:textId="77777777" w:rsidR="009A3BE0" w:rsidRDefault="001D6407">
      <w:pPr>
        <w:ind w:left="676" w:right="732" w:hanging="560"/>
        <w:rPr>
          <w:sz w:val="24"/>
        </w:rPr>
      </w:pPr>
      <w:r>
        <w:rPr>
          <w:sz w:val="24"/>
        </w:rPr>
        <w:t xml:space="preserve">*Andrew </w:t>
      </w:r>
      <w:proofErr w:type="spellStart"/>
      <w:r>
        <w:rPr>
          <w:sz w:val="24"/>
        </w:rPr>
        <w:t>Clapham</w:t>
      </w:r>
      <w:proofErr w:type="spellEnd"/>
      <w:r>
        <w:rPr>
          <w:sz w:val="24"/>
        </w:rPr>
        <w:t xml:space="preserve"> and Paola Gaeta, eds. </w:t>
      </w:r>
      <w:r>
        <w:rPr>
          <w:i/>
          <w:sz w:val="24"/>
        </w:rPr>
        <w:t>The Oxford handbook of internat</w:t>
      </w:r>
      <w:r>
        <w:rPr>
          <w:i/>
          <w:sz w:val="24"/>
        </w:rPr>
        <w:t>ional law in armed conflict. (</w:t>
      </w:r>
      <w:r>
        <w:rPr>
          <w:sz w:val="24"/>
        </w:rPr>
        <w:t>Oxford University Press, 2014.)</w:t>
      </w:r>
    </w:p>
    <w:p w14:paraId="00A9B4ED" w14:textId="77777777" w:rsidR="009A3BE0" w:rsidRDefault="001D6407">
      <w:pPr>
        <w:pStyle w:val="BodyText"/>
        <w:ind w:left="676"/>
      </w:pPr>
      <w:r>
        <w:t>Chapter 2 – The Role of the International Committee of the Red Cross</w:t>
      </w:r>
    </w:p>
    <w:p w14:paraId="098E889F" w14:textId="77777777" w:rsidR="009A3BE0" w:rsidRDefault="001D6407">
      <w:pPr>
        <w:pStyle w:val="BodyText"/>
        <w:ind w:left="826" w:right="192" w:hanging="710"/>
      </w:pPr>
      <w:r>
        <w:t xml:space="preserve">*David Chandler, “The Road to Military Humanitarianism: How the Human Rights NGOs Shaped </w:t>
      </w:r>
      <w:proofErr w:type="gramStart"/>
      <w:r>
        <w:t>A</w:t>
      </w:r>
      <w:proofErr w:type="gramEnd"/>
      <w:r>
        <w:t xml:space="preserve"> New Humanitarian Agenda,” </w:t>
      </w:r>
      <w:r>
        <w:rPr>
          <w:i/>
        </w:rPr>
        <w:t>Human Ri</w:t>
      </w:r>
      <w:r>
        <w:rPr>
          <w:i/>
        </w:rPr>
        <w:t>ghts Quarterly</w:t>
      </w:r>
      <w:r>
        <w:t>, 2001, pp. 678-700</w:t>
      </w:r>
    </w:p>
    <w:p w14:paraId="3C1BE8CC" w14:textId="77777777" w:rsidR="009A3BE0" w:rsidRDefault="001D6407">
      <w:pPr>
        <w:ind w:left="115"/>
        <w:rPr>
          <w:sz w:val="24"/>
        </w:rPr>
      </w:pPr>
      <w:r>
        <w:rPr>
          <w:sz w:val="24"/>
        </w:rPr>
        <w:t xml:space="preserve">*Michael Barnett, </w:t>
      </w:r>
      <w:r>
        <w:rPr>
          <w:i/>
          <w:sz w:val="24"/>
        </w:rPr>
        <w:t xml:space="preserve">The International Humanitarian Order, </w:t>
      </w:r>
      <w:r>
        <w:rPr>
          <w:sz w:val="24"/>
        </w:rPr>
        <w:t>(Routledge, 2010.)</w:t>
      </w:r>
    </w:p>
    <w:p w14:paraId="15BE9F75" w14:textId="77777777" w:rsidR="009A3BE0" w:rsidRDefault="001D6407">
      <w:pPr>
        <w:pStyle w:val="BodyText"/>
        <w:ind w:left="826" w:right="816"/>
      </w:pPr>
      <w:r>
        <w:t>especially Chapter 5 – Humanitarianism with a sovereign face: UNHCR in the global undertow</w:t>
      </w:r>
    </w:p>
    <w:p w14:paraId="4CF81648" w14:textId="77777777" w:rsidR="009A3BE0" w:rsidRDefault="009A3BE0">
      <w:pPr>
        <w:pStyle w:val="BodyText"/>
        <w:rPr>
          <w:sz w:val="26"/>
        </w:rPr>
      </w:pPr>
    </w:p>
    <w:p w14:paraId="647BACA2" w14:textId="77777777" w:rsidR="009A3BE0" w:rsidRDefault="009A3BE0">
      <w:pPr>
        <w:pStyle w:val="BodyText"/>
        <w:rPr>
          <w:sz w:val="22"/>
        </w:rPr>
      </w:pPr>
    </w:p>
    <w:p w14:paraId="779AB2F1" w14:textId="4D3F34E0" w:rsidR="009A3BE0" w:rsidRDefault="001D6407" w:rsidP="00B42394">
      <w:pPr>
        <w:pStyle w:val="Heading1"/>
        <w:ind w:left="0"/>
      </w:pPr>
      <w:r>
        <w:rPr>
          <w:u w:val="single"/>
        </w:rPr>
        <w:t>– Post-conflict Reconstruction &amp; Public-Pri</w:t>
      </w:r>
      <w:r>
        <w:rPr>
          <w:u w:val="single"/>
        </w:rPr>
        <w:t>vate Partnership</w:t>
      </w:r>
    </w:p>
    <w:p w14:paraId="04CFBD91" w14:textId="77777777" w:rsidR="009A3BE0" w:rsidRDefault="001D6407">
      <w:pPr>
        <w:ind w:left="826" w:right="714" w:hanging="710"/>
        <w:rPr>
          <w:sz w:val="24"/>
        </w:rPr>
      </w:pPr>
      <w:r>
        <w:rPr>
          <w:sz w:val="24"/>
        </w:rPr>
        <w:t xml:space="preserve">The World Bank, </w:t>
      </w:r>
      <w:r>
        <w:rPr>
          <w:i/>
          <w:sz w:val="24"/>
        </w:rPr>
        <w:t>The Private Sector's Role in the Provision of Infrastructure in Post-Conflict Countries: Patterns and Policy Options</w:t>
      </w:r>
      <w:r>
        <w:rPr>
          <w:sz w:val="24"/>
        </w:rPr>
        <w:t>, Conflict Prevention &amp; Reconstruction Paper No. 16, 2004.</w:t>
      </w:r>
    </w:p>
    <w:p w14:paraId="30A81A73" w14:textId="77777777" w:rsidR="009A3BE0" w:rsidRDefault="001D6407">
      <w:pPr>
        <w:pStyle w:val="BodyText"/>
        <w:ind w:left="115"/>
      </w:pPr>
      <w:r>
        <w:t>&lt;</w:t>
      </w:r>
      <w:hyperlink r:id="rId10">
        <w:r>
          <w:t>http://siteresources.worldbank.org/INTCPR/214578-1111996036679/20618754/WP16_Web.pdf&gt;</w:t>
        </w:r>
      </w:hyperlink>
    </w:p>
    <w:p w14:paraId="3C0B7F26" w14:textId="77777777" w:rsidR="009A3BE0" w:rsidRDefault="001D6407">
      <w:pPr>
        <w:ind w:left="826" w:right="92" w:hanging="710"/>
        <w:rPr>
          <w:sz w:val="24"/>
        </w:rPr>
      </w:pPr>
      <w:r>
        <w:rPr>
          <w:sz w:val="24"/>
        </w:rPr>
        <w:t xml:space="preserve">*Robert </w:t>
      </w:r>
      <w:proofErr w:type="spellStart"/>
      <w:r>
        <w:rPr>
          <w:sz w:val="24"/>
        </w:rPr>
        <w:t>Muggah</w:t>
      </w:r>
      <w:proofErr w:type="spellEnd"/>
      <w:r>
        <w:rPr>
          <w:sz w:val="24"/>
        </w:rPr>
        <w:t>, “No Magic Bullet: A Critical Perspective on Disarmament, Demobilization and Reintegration (DDR) a</w:t>
      </w:r>
      <w:r>
        <w:rPr>
          <w:sz w:val="24"/>
        </w:rPr>
        <w:t xml:space="preserve">nd Weapons Reduction in Post-Conflict Contexts,” </w:t>
      </w:r>
      <w:r>
        <w:rPr>
          <w:i/>
          <w:sz w:val="24"/>
        </w:rPr>
        <w:t>The Commonwealth Journal of International Affairs</w:t>
      </w:r>
      <w:r>
        <w:rPr>
          <w:sz w:val="24"/>
        </w:rPr>
        <w:t>, Vol. 94, 2005.</w:t>
      </w:r>
    </w:p>
    <w:p w14:paraId="2019B8B0" w14:textId="77777777" w:rsidR="009A3BE0" w:rsidRDefault="001D6407">
      <w:pPr>
        <w:pStyle w:val="BodyText"/>
        <w:ind w:left="826" w:hanging="710"/>
      </w:pPr>
      <w:r>
        <w:t xml:space="preserve">Igor Abramov, “Building Peace in Fragile States – Building Trust is Essential for Effective Public- Private Partnership,” </w:t>
      </w:r>
      <w:r>
        <w:rPr>
          <w:i/>
        </w:rPr>
        <w:t>Journal of Business Ethics</w:t>
      </w:r>
      <w:r>
        <w:t>, 2010.</w:t>
      </w:r>
    </w:p>
    <w:p w14:paraId="15CEF049" w14:textId="77777777" w:rsidR="009A3BE0" w:rsidRDefault="009A3BE0">
      <w:pPr>
        <w:pStyle w:val="BodyText"/>
      </w:pPr>
    </w:p>
    <w:p w14:paraId="3EE4EAC6" w14:textId="77777777" w:rsidR="009A3BE0" w:rsidRDefault="001D6407">
      <w:pPr>
        <w:pStyle w:val="Heading1"/>
      </w:pPr>
      <w:r>
        <w:t>Case: Conflict diamonds and the Kimberley Process</w:t>
      </w:r>
    </w:p>
    <w:p w14:paraId="6F0F87FE" w14:textId="77777777" w:rsidR="009A3BE0" w:rsidRDefault="001D6407">
      <w:pPr>
        <w:pStyle w:val="BodyText"/>
        <w:spacing w:before="1"/>
        <w:ind w:left="115"/>
      </w:pPr>
      <w:r>
        <w:t xml:space="preserve">*Andrew Bone, “Conflict diamonds: </w:t>
      </w:r>
      <w:proofErr w:type="gramStart"/>
      <w:r>
        <w:t>the</w:t>
      </w:r>
      <w:proofErr w:type="gramEnd"/>
      <w:r>
        <w:t xml:space="preserve"> De Beers Group and the Kimberley Process,” SIPRI, 2004</w:t>
      </w:r>
    </w:p>
    <w:p w14:paraId="41E101DA" w14:textId="77777777" w:rsidR="009A3BE0" w:rsidRDefault="001D6407">
      <w:pPr>
        <w:pStyle w:val="BodyText"/>
        <w:ind w:left="115"/>
      </w:pPr>
      <w:r>
        <w:t>*Clive Wright, “Tackling conflict diamonds: the Kimberley process certificatio</w:t>
      </w:r>
      <w:r>
        <w:t>n scheme,”</w:t>
      </w:r>
    </w:p>
    <w:p w14:paraId="7010D54B" w14:textId="77777777" w:rsidR="009A3BE0" w:rsidRDefault="001D6407">
      <w:pPr>
        <w:ind w:left="826"/>
        <w:rPr>
          <w:sz w:val="24"/>
        </w:rPr>
      </w:pPr>
      <w:r>
        <w:rPr>
          <w:i/>
          <w:sz w:val="24"/>
        </w:rPr>
        <w:t>International Peacekeeping</w:t>
      </w:r>
      <w:r>
        <w:rPr>
          <w:sz w:val="24"/>
        </w:rPr>
        <w:t>, Vol. 11, Issue 4., 2004</w:t>
      </w:r>
    </w:p>
    <w:p w14:paraId="50D39AED" w14:textId="77777777" w:rsidR="009A3BE0" w:rsidRDefault="009A3BE0">
      <w:pPr>
        <w:pStyle w:val="BodyText"/>
        <w:rPr>
          <w:sz w:val="26"/>
        </w:rPr>
      </w:pPr>
    </w:p>
    <w:p w14:paraId="60EB5987" w14:textId="77777777" w:rsidR="009A3BE0" w:rsidRDefault="009A3BE0">
      <w:pPr>
        <w:pStyle w:val="BodyText"/>
        <w:spacing w:before="11"/>
        <w:rPr>
          <w:sz w:val="21"/>
        </w:rPr>
      </w:pPr>
    </w:p>
    <w:p w14:paraId="3FD66B4E" w14:textId="0CDC4973" w:rsidR="009A3BE0" w:rsidRDefault="001D6407" w:rsidP="00B42394">
      <w:pPr>
        <w:pStyle w:val="Heading1"/>
        <w:ind w:left="0"/>
      </w:pPr>
      <w:bookmarkStart w:id="0" w:name="_GoBack"/>
      <w:bookmarkEnd w:id="0"/>
      <w:r>
        <w:rPr>
          <w:u w:val="single"/>
        </w:rPr>
        <w:t>– Future of War: The emerging role of technologies in warfare</w:t>
      </w:r>
    </w:p>
    <w:p w14:paraId="1FDF7252" w14:textId="77777777" w:rsidR="009A3BE0" w:rsidRDefault="001D6407">
      <w:pPr>
        <w:pStyle w:val="BodyText"/>
        <w:ind w:left="115"/>
      </w:pPr>
      <w:r>
        <w:t>*Solis, 2016. Chapter 14 – Autonomous Weapons, Drones, and Targeted Killing.</w:t>
      </w:r>
    </w:p>
    <w:p w14:paraId="5A31653E" w14:textId="77777777" w:rsidR="009A3BE0" w:rsidRDefault="001D6407">
      <w:pPr>
        <w:pStyle w:val="BodyText"/>
        <w:ind w:left="826"/>
      </w:pPr>
      <w:r>
        <w:t>Chapter 17 – Cyber Warfare</w:t>
      </w:r>
    </w:p>
    <w:p w14:paraId="3405D0DE" w14:textId="77777777" w:rsidR="009A3BE0" w:rsidRDefault="001D6407">
      <w:pPr>
        <w:ind w:left="886" w:right="199" w:hanging="770"/>
        <w:rPr>
          <w:sz w:val="24"/>
        </w:rPr>
      </w:pPr>
      <w:r>
        <w:rPr>
          <w:sz w:val="24"/>
        </w:rPr>
        <w:t>*Future of Lif</w:t>
      </w:r>
      <w:r>
        <w:rPr>
          <w:sz w:val="24"/>
        </w:rPr>
        <w:t xml:space="preserve">e Institute, </w:t>
      </w:r>
      <w:r>
        <w:rPr>
          <w:i/>
          <w:sz w:val="24"/>
        </w:rPr>
        <w:t xml:space="preserve">Autonomous Weapons: An Open Letter </w:t>
      </w:r>
      <w:proofErr w:type="gramStart"/>
      <w:r>
        <w:rPr>
          <w:i/>
          <w:sz w:val="24"/>
        </w:rPr>
        <w:t>From</w:t>
      </w:r>
      <w:proofErr w:type="gramEnd"/>
      <w:r>
        <w:rPr>
          <w:i/>
          <w:sz w:val="24"/>
        </w:rPr>
        <w:t xml:space="preserve"> AI &amp; Robotics Researchers</w:t>
      </w:r>
      <w:r>
        <w:rPr>
          <w:sz w:val="24"/>
        </w:rPr>
        <w:t>, 2015. &lt;https://futureoflife.org/open-letter-autonomous-weapons/&gt;</w:t>
      </w:r>
    </w:p>
    <w:p w14:paraId="5E2AAA37" w14:textId="77777777" w:rsidR="009A3BE0" w:rsidRDefault="001D6407">
      <w:pPr>
        <w:ind w:left="115"/>
        <w:rPr>
          <w:i/>
          <w:sz w:val="24"/>
        </w:rPr>
      </w:pPr>
      <w:r>
        <w:rPr>
          <w:sz w:val="24"/>
        </w:rPr>
        <w:t xml:space="preserve">Michael E. O'Hanlon, </w:t>
      </w:r>
      <w:r>
        <w:rPr>
          <w:i/>
          <w:sz w:val="24"/>
        </w:rPr>
        <w:t>Technological Change and the Future of Warfare,</w:t>
      </w:r>
    </w:p>
    <w:p w14:paraId="25D0EA75" w14:textId="77777777" w:rsidR="009A3BE0" w:rsidRDefault="001D6407">
      <w:pPr>
        <w:pStyle w:val="BodyText"/>
        <w:ind w:left="826"/>
      </w:pPr>
      <w:r>
        <w:t>(The Brookings Institute, 2000)</w:t>
      </w:r>
    </w:p>
    <w:sectPr w:rsidR="009A3BE0">
      <w:pgSz w:w="11900" w:h="16840"/>
      <w:pgMar w:top="1060" w:right="1020" w:bottom="1400" w:left="1020" w:header="0" w:footer="121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F78C7" w14:textId="77777777" w:rsidR="001D6407" w:rsidRDefault="001D6407">
      <w:r>
        <w:separator/>
      </w:r>
    </w:p>
  </w:endnote>
  <w:endnote w:type="continuationSeparator" w:id="0">
    <w:p w14:paraId="6B8AA967" w14:textId="77777777" w:rsidR="001D6407" w:rsidRDefault="001D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0EF0" w14:textId="6420C2D2" w:rsidR="009A3BE0" w:rsidRDefault="00AB4A3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7D8D3C" wp14:editId="0311FCED">
              <wp:simplePos x="0" y="0"/>
              <wp:positionH relativeFrom="page">
                <wp:posOffset>6740525</wp:posOffset>
              </wp:positionH>
              <wp:positionV relativeFrom="page">
                <wp:posOffset>9784080</wp:posOffset>
              </wp:positionV>
              <wp:extent cx="127000" cy="194310"/>
              <wp:effectExtent l="0" t="508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FF044" w14:textId="77777777" w:rsidR="009A3BE0" w:rsidRDefault="001D6407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239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D8D3C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30.75pt;margin-top:770.4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" filled="f" stroked="f">
              <v:textbox inset="0,0,0,0">
                <w:txbxContent>
                  <w:p w14:paraId="519FF044" w14:textId="77777777" w:rsidR="009A3BE0" w:rsidRDefault="001D6407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4239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082B6" w14:textId="77777777" w:rsidR="001D6407" w:rsidRDefault="001D6407">
      <w:r>
        <w:separator/>
      </w:r>
    </w:p>
  </w:footnote>
  <w:footnote w:type="continuationSeparator" w:id="0">
    <w:p w14:paraId="0E867A21" w14:textId="77777777" w:rsidR="001D6407" w:rsidRDefault="001D6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E0"/>
    <w:rsid w:val="001D6407"/>
    <w:rsid w:val="009A3BE0"/>
    <w:rsid w:val="00AB4A34"/>
    <w:rsid w:val="00B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AE9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ft.com/content/71198450-73f0-11e5-bdb1-e6e4767162cc?mhq5j=e5" TargetMode="External"/><Relationship Id="rId7" Type="http://schemas.openxmlformats.org/officeDocument/2006/relationships/footer" Target="footer1.xml"/><Relationship Id="rId8" Type="http://schemas.openxmlformats.org/officeDocument/2006/relationships/hyperlink" Target="http://www.un.org/depts/los/convention_agreements/convention_overview_convention.htm" TargetMode="External"/><Relationship Id="rId9" Type="http://schemas.openxmlformats.org/officeDocument/2006/relationships/hyperlink" Target="http://www.rsis.edu.sg/wp-content/uploads/2014/11/PR140330_US_Policy_Towards_Disputes.pdf" TargetMode="External"/><Relationship Id="rId10" Type="http://schemas.openxmlformats.org/officeDocument/2006/relationships/hyperlink" Target="http://siteresources.worldbank.org/INTCPR/214578-1111996036679/20618754/WP16_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1160</Words>
  <Characters>6501</Characters>
  <Application>Microsoft Macintosh Word</Application>
  <DocSecurity>0</DocSecurity>
  <Lines>216</Lines>
  <Paragraphs>100</Paragraphs>
  <ScaleCrop>false</ScaleCrop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Al-Salhi, Abdul-Aziz-Mohammed-Salim (Student)</cp:lastModifiedBy>
  <cp:revision>3</cp:revision>
  <dcterms:created xsi:type="dcterms:W3CDTF">2017-12-22T15:54:00Z</dcterms:created>
  <dcterms:modified xsi:type="dcterms:W3CDTF">2017-12-22T15:55:00Z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2017-12-22T00:00:00Z</vt:filetime>
  </property>
</Properties>
</file>