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AB" w:rsidRPr="00363EC4" w:rsidRDefault="005950AB" w:rsidP="005950AB">
      <w:pPr>
        <w:pStyle w:val="ListParagraph"/>
        <w:numPr>
          <w:ilvl w:val="0"/>
          <w:numId w:val="2"/>
        </w:numPr>
        <w:rPr>
          <w:rFonts w:ascii="Times New Roman" w:eastAsia="Times New Roman" w:hAnsi="Times New Roman" w:cs="Times New Roman"/>
        </w:rPr>
      </w:pPr>
      <w:r w:rsidRPr="00363EC4">
        <w:rPr>
          <w:rFonts w:ascii="Times New Roman" w:eastAsia="Times New Roman" w:hAnsi="Times New Roman" w:cs="Times New Roman"/>
          <w:color w:val="444444"/>
          <w:shd w:val="clear" w:color="auto" w:fill="FFFFFF"/>
        </w:rPr>
        <w:t xml:space="preserve">More and </w:t>
      </w:r>
      <w:proofErr w:type="gramStart"/>
      <w:r w:rsidRPr="00363EC4">
        <w:rPr>
          <w:rFonts w:ascii="Times New Roman" w:eastAsia="Times New Roman" w:hAnsi="Times New Roman" w:cs="Times New Roman"/>
          <w:color w:val="444444"/>
          <w:shd w:val="clear" w:color="auto" w:fill="FFFFFF"/>
        </w:rPr>
        <w:t>more small</w:t>
      </w:r>
      <w:proofErr w:type="gramEnd"/>
      <w:r w:rsidRPr="00363EC4">
        <w:rPr>
          <w:rFonts w:ascii="Times New Roman" w:eastAsia="Times New Roman" w:hAnsi="Times New Roman" w:cs="Times New Roman"/>
          <w:color w:val="444444"/>
          <w:shd w:val="clear" w:color="auto" w:fill="FFFFFF"/>
        </w:rPr>
        <w:t xml:space="preserve"> biotech firms are coming into existence.  Whether </w:t>
      </w:r>
      <w:proofErr w:type="spellStart"/>
      <w:r w:rsidRPr="00363EC4">
        <w:rPr>
          <w:rFonts w:ascii="Times New Roman" w:eastAsia="Times New Roman" w:hAnsi="Times New Roman" w:cs="Times New Roman"/>
          <w:color w:val="444444"/>
          <w:shd w:val="clear" w:color="auto" w:fill="FFFFFF"/>
        </w:rPr>
        <w:t>is</w:t>
      </w:r>
      <w:proofErr w:type="spellEnd"/>
      <w:r w:rsidRPr="00363EC4">
        <w:rPr>
          <w:rFonts w:ascii="Times New Roman" w:eastAsia="Times New Roman" w:hAnsi="Times New Roman" w:cs="Times New Roman"/>
          <w:color w:val="444444"/>
          <w:shd w:val="clear" w:color="auto" w:fill="FFFFFF"/>
        </w:rPr>
        <w:t xml:space="preserve"> </w:t>
      </w:r>
      <w:proofErr w:type="gramStart"/>
      <w:r w:rsidRPr="00363EC4">
        <w:rPr>
          <w:rFonts w:ascii="Times New Roman" w:eastAsia="Times New Roman" w:hAnsi="Times New Roman" w:cs="Times New Roman"/>
          <w:color w:val="444444"/>
          <w:shd w:val="clear" w:color="auto" w:fill="FFFFFF"/>
        </w:rPr>
        <w:t>be</w:t>
      </w:r>
      <w:proofErr w:type="gramEnd"/>
      <w:r w:rsidRPr="00363EC4">
        <w:rPr>
          <w:rFonts w:ascii="Times New Roman" w:eastAsia="Times New Roman" w:hAnsi="Times New Roman" w:cs="Times New Roman"/>
          <w:color w:val="444444"/>
          <w:shd w:val="clear" w:color="auto" w:fill="FFFFFF"/>
        </w:rPr>
        <w:t xml:space="preserve"> pre-commercial or having a commercialized product, these organizations take time to set up infrastructure to conform to FDA regulations.  These companies often outsource many of their functions to third parties.  As a result, you may have many different vendors producing different ways to conform to the regulations.  This can be an issue when an inspection arises.  In theory all of this data should be easy to locate and streamlined to utilize one source.  In actuality, with the emergence of new software, each vendor may supply different types of data streams.  This makes it a challenge to streamline and standardize the process for FDA.  The intent of the regulation is being met, but noncompliance would be found if reading the regulation with strict scrutiny.  Unless FDA wants to mandate, to a granular nature, exactly what needs to be shown with software and on what screens and what process, it will be near impossible to make every situation the same.  Generally, if the data is easily </w:t>
      </w:r>
      <w:proofErr w:type="spellStart"/>
      <w:r w:rsidRPr="00363EC4">
        <w:rPr>
          <w:rFonts w:ascii="Times New Roman" w:eastAsia="Times New Roman" w:hAnsi="Times New Roman" w:cs="Times New Roman"/>
          <w:color w:val="444444"/>
          <w:shd w:val="clear" w:color="auto" w:fill="FFFFFF"/>
        </w:rPr>
        <w:t>accessable</w:t>
      </w:r>
      <w:proofErr w:type="spellEnd"/>
      <w:r w:rsidRPr="00363EC4">
        <w:rPr>
          <w:rFonts w:ascii="Times New Roman" w:eastAsia="Times New Roman" w:hAnsi="Times New Roman" w:cs="Times New Roman"/>
          <w:color w:val="444444"/>
          <w:shd w:val="clear" w:color="auto" w:fill="FFFFFF"/>
        </w:rPr>
        <w:t xml:space="preserve"> and can be supplied, it will suffice.  Certainly there are clear cut violations, but so long as the intent is being met, the Agency has been clear that they will be flexible, as per the March 2018 guidance on this topic.</w:t>
      </w:r>
    </w:p>
    <w:p w:rsidR="006A4428" w:rsidRPr="00363EC4" w:rsidRDefault="006A4428" w:rsidP="006A4428">
      <w:pPr>
        <w:pStyle w:val="ListParagraph"/>
        <w:rPr>
          <w:rFonts w:ascii="Times New Roman" w:eastAsia="Times New Roman" w:hAnsi="Times New Roman" w:cs="Times New Roman"/>
          <w:color w:val="444444"/>
          <w:shd w:val="clear" w:color="auto" w:fill="FFFFFF"/>
        </w:rPr>
      </w:pPr>
    </w:p>
    <w:p w:rsidR="00363EC4" w:rsidRPr="00363EC4" w:rsidRDefault="00363EC4" w:rsidP="00363EC4">
      <w:pPr>
        <w:pStyle w:val="ListParagraph"/>
        <w:jc w:val="center"/>
        <w:rPr>
          <w:rFonts w:ascii="Times New Roman" w:eastAsia="Times New Roman" w:hAnsi="Times New Roman" w:cs="Times New Roman"/>
          <w:b/>
          <w:color w:val="444444"/>
          <w:shd w:val="clear" w:color="auto" w:fill="FFFFFF"/>
        </w:rPr>
      </w:pPr>
      <w:r w:rsidRPr="00363EC4">
        <w:rPr>
          <w:rFonts w:ascii="Times New Roman" w:eastAsia="Times New Roman" w:hAnsi="Times New Roman" w:cs="Times New Roman"/>
          <w:b/>
          <w:color w:val="444444"/>
          <w:shd w:val="clear" w:color="auto" w:fill="FFFFFF"/>
        </w:rPr>
        <w:t>Response</w:t>
      </w:r>
    </w:p>
    <w:p w:rsidR="006A4428" w:rsidRPr="00363EC4" w:rsidRDefault="006A4428" w:rsidP="00363EC4">
      <w:pPr>
        <w:pStyle w:val="ListParagraph"/>
        <w:rPr>
          <w:rFonts w:ascii="Times New Roman" w:eastAsia="Times New Roman" w:hAnsi="Times New Roman" w:cs="Times New Roman"/>
          <w:color w:val="444444"/>
          <w:shd w:val="clear" w:color="auto" w:fill="FFFFFF"/>
        </w:rPr>
      </w:pPr>
      <w:r w:rsidRPr="00363EC4">
        <w:rPr>
          <w:rFonts w:ascii="Times New Roman" w:eastAsia="Times New Roman" w:hAnsi="Times New Roman" w:cs="Times New Roman"/>
          <w:color w:val="444444"/>
          <w:shd w:val="clear" w:color="auto" w:fill="FFFFFF"/>
        </w:rPr>
        <w:t>Indeed, I totally concur that when small biotech outsource most of their functions from third parties, it becomes really hard for the FDA to standardize operations. Indeed, a well planned blueprint can give an impression of the simplicity with which data from a wide spectrum of sources could be located and homogenized. Nonetheless, when various venders use different types of data streams, the FDA will surely find it challenging to standardize such data. This is because</w:t>
      </w:r>
      <w:r w:rsidR="000F03EB" w:rsidRPr="00363EC4">
        <w:rPr>
          <w:rFonts w:ascii="Times New Roman" w:eastAsia="Times New Roman" w:hAnsi="Times New Roman" w:cs="Times New Roman"/>
          <w:color w:val="444444"/>
          <w:shd w:val="clear" w:color="auto" w:fill="FFFFFF"/>
        </w:rPr>
        <w:t xml:space="preserve">, </w:t>
      </w:r>
      <w:r w:rsidR="00A60C28" w:rsidRPr="00363EC4">
        <w:rPr>
          <w:rFonts w:ascii="Times New Roman" w:eastAsia="Times New Roman" w:hAnsi="Times New Roman" w:cs="Times New Roman"/>
          <w:color w:val="444444"/>
          <w:shd w:val="clear" w:color="auto" w:fill="FFFFFF"/>
        </w:rPr>
        <w:t>w</w:t>
      </w:r>
      <w:r w:rsidRPr="00363EC4">
        <w:rPr>
          <w:rFonts w:ascii="Times New Roman" w:eastAsia="Times New Roman" w:hAnsi="Times New Roman" w:cs="Times New Roman"/>
          <w:color w:val="444444"/>
          <w:shd w:val="clear" w:color="auto" w:fill="FFFFFF"/>
        </w:rPr>
        <w:t xml:space="preserve">hile most of these </w:t>
      </w:r>
      <w:r w:rsidR="000F03EB" w:rsidRPr="00363EC4">
        <w:rPr>
          <w:rFonts w:ascii="Times New Roman" w:eastAsia="Times New Roman" w:hAnsi="Times New Roman" w:cs="Times New Roman"/>
          <w:color w:val="444444"/>
          <w:shd w:val="clear" w:color="auto" w:fill="FFFFFF"/>
        </w:rPr>
        <w:t>third parties from</w:t>
      </w:r>
      <w:r w:rsidRPr="00363EC4">
        <w:rPr>
          <w:rFonts w:ascii="Times New Roman" w:eastAsia="Times New Roman" w:hAnsi="Times New Roman" w:cs="Times New Roman"/>
          <w:color w:val="444444"/>
          <w:shd w:val="clear" w:color="auto" w:fill="FFFFFF"/>
        </w:rPr>
        <w:t xml:space="preserve"> which the small biotech </w:t>
      </w:r>
      <w:r w:rsidR="000F03EB" w:rsidRPr="00363EC4">
        <w:rPr>
          <w:rFonts w:ascii="Times New Roman" w:eastAsia="Times New Roman" w:hAnsi="Times New Roman" w:cs="Times New Roman"/>
          <w:color w:val="444444"/>
          <w:shd w:val="clear" w:color="auto" w:fill="FFFFFF"/>
        </w:rPr>
        <w:t xml:space="preserve">companies outsource may adhere to the face value standards of the FDA, compliance may not be applicable in a similar manner. For instance, in cases where the </w:t>
      </w:r>
      <w:r w:rsidR="00A60C28" w:rsidRPr="00363EC4">
        <w:rPr>
          <w:rFonts w:ascii="Times New Roman" w:eastAsia="Times New Roman" w:hAnsi="Times New Roman" w:cs="Times New Roman"/>
          <w:color w:val="444444"/>
          <w:shd w:val="clear" w:color="auto" w:fill="FFFFFF"/>
        </w:rPr>
        <w:t>FDA has</w:t>
      </w:r>
      <w:r w:rsidR="000F03EB" w:rsidRPr="00363EC4">
        <w:rPr>
          <w:rFonts w:ascii="Times New Roman" w:eastAsia="Times New Roman" w:hAnsi="Times New Roman" w:cs="Times New Roman"/>
          <w:color w:val="444444"/>
          <w:shd w:val="clear" w:color="auto" w:fill="FFFFFF"/>
        </w:rPr>
        <w:t xml:space="preserve"> </w:t>
      </w:r>
      <w:r w:rsidR="00A60C28" w:rsidRPr="00363EC4">
        <w:rPr>
          <w:rFonts w:ascii="Times New Roman" w:eastAsia="Times New Roman" w:hAnsi="Times New Roman" w:cs="Times New Roman"/>
          <w:color w:val="444444"/>
          <w:shd w:val="clear" w:color="auto" w:fill="FFFFFF"/>
        </w:rPr>
        <w:t>given</w:t>
      </w:r>
      <w:r w:rsidR="000F03EB" w:rsidRPr="00363EC4">
        <w:rPr>
          <w:rFonts w:ascii="Times New Roman" w:eastAsia="Times New Roman" w:hAnsi="Times New Roman" w:cs="Times New Roman"/>
          <w:color w:val="444444"/>
          <w:shd w:val="clear" w:color="auto" w:fill="FFFFFF"/>
        </w:rPr>
        <w:t xml:space="preserve"> various options for one function</w:t>
      </w:r>
      <w:r w:rsidR="00A60C28" w:rsidRPr="00363EC4">
        <w:rPr>
          <w:rFonts w:ascii="Times New Roman" w:eastAsia="Times New Roman" w:hAnsi="Times New Roman" w:cs="Times New Roman"/>
          <w:color w:val="444444"/>
          <w:shd w:val="clear" w:color="auto" w:fill="FFFFFF"/>
        </w:rPr>
        <w:t>, d</w:t>
      </w:r>
      <w:r w:rsidR="000F03EB" w:rsidRPr="00363EC4">
        <w:rPr>
          <w:rFonts w:ascii="Times New Roman" w:eastAsia="Times New Roman" w:hAnsi="Times New Roman" w:cs="Times New Roman"/>
          <w:color w:val="444444"/>
          <w:shd w:val="clear" w:color="auto" w:fill="FFFFFF"/>
        </w:rPr>
        <w:t xml:space="preserve">ifferent third parties may </w:t>
      </w:r>
      <w:r w:rsidR="00A60C28" w:rsidRPr="00363EC4">
        <w:rPr>
          <w:rFonts w:ascii="Times New Roman" w:eastAsia="Times New Roman" w:hAnsi="Times New Roman" w:cs="Times New Roman"/>
          <w:color w:val="444444"/>
          <w:shd w:val="clear" w:color="auto" w:fill="FFFFFF"/>
        </w:rPr>
        <w:t>comply with</w:t>
      </w:r>
      <w:r w:rsidR="000F03EB" w:rsidRPr="00363EC4">
        <w:rPr>
          <w:rFonts w:ascii="Times New Roman" w:eastAsia="Times New Roman" w:hAnsi="Times New Roman" w:cs="Times New Roman"/>
          <w:color w:val="444444"/>
          <w:shd w:val="clear" w:color="auto" w:fill="FFFFFF"/>
        </w:rPr>
        <w:t xml:space="preserve"> differing options. This makes it hard to develop </w:t>
      </w:r>
      <w:r w:rsidR="00A60C28" w:rsidRPr="00363EC4">
        <w:rPr>
          <w:rFonts w:ascii="Times New Roman" w:eastAsia="Times New Roman" w:hAnsi="Times New Roman" w:cs="Times New Roman"/>
          <w:color w:val="444444"/>
          <w:shd w:val="clear" w:color="auto" w:fill="FFFFFF"/>
        </w:rPr>
        <w:t>homogeneity</w:t>
      </w:r>
      <w:r w:rsidR="000F03EB" w:rsidRPr="00363EC4">
        <w:rPr>
          <w:rFonts w:ascii="Times New Roman" w:eastAsia="Times New Roman" w:hAnsi="Times New Roman" w:cs="Times New Roman"/>
          <w:color w:val="444444"/>
          <w:shd w:val="clear" w:color="auto" w:fill="FFFFFF"/>
        </w:rPr>
        <w:t xml:space="preserve"> in regards to data streaming. </w:t>
      </w:r>
      <w:r w:rsidRPr="00363EC4">
        <w:rPr>
          <w:rFonts w:ascii="Times New Roman" w:eastAsia="Times New Roman" w:hAnsi="Times New Roman" w:cs="Times New Roman"/>
          <w:color w:val="444444"/>
          <w:shd w:val="clear" w:color="auto" w:fill="FFFFFF"/>
        </w:rPr>
        <w:t xml:space="preserve"> </w:t>
      </w:r>
    </w:p>
    <w:p w:rsidR="006A4428" w:rsidRPr="00363EC4" w:rsidRDefault="006A4428" w:rsidP="005950AB">
      <w:pPr>
        <w:pStyle w:val="ListParagraph"/>
        <w:rPr>
          <w:rFonts w:ascii="Times New Roman" w:hAnsi="Times New Roman" w:cs="Times New Roman"/>
        </w:rPr>
      </w:pPr>
    </w:p>
    <w:p w:rsidR="008C2FDC" w:rsidRPr="00363EC4" w:rsidRDefault="008C2FDC" w:rsidP="001E69C6">
      <w:pPr>
        <w:pStyle w:val="NormalWeb"/>
        <w:numPr>
          <w:ilvl w:val="0"/>
          <w:numId w:val="2"/>
        </w:numPr>
        <w:spacing w:before="0" w:beforeAutospacing="0" w:after="0" w:afterAutospacing="0"/>
        <w:rPr>
          <w:color w:val="444444"/>
        </w:rPr>
      </w:pPr>
      <w:bookmarkStart w:id="0" w:name="_GoBack"/>
      <w:bookmarkEnd w:id="0"/>
      <w:r w:rsidRPr="00363EC4">
        <w:rPr>
          <w:color w:val="444444"/>
        </w:rPr>
        <w:t>Part 11 compliance basically requires that an organization put controls in place for electronic records (and their associated electronic systems) that are used in place of paper records.  Some of these controls involve validating computer systems that are used to create and modify electronic records, authenticating electronic signatures to prevent falsification, and ensuring that the users are trained properly</w:t>
      </w:r>
      <w:r w:rsidRPr="00363EC4">
        <w:rPr>
          <w:color w:val="444444"/>
          <w:bdr w:val="none" w:sz="0" w:space="0" w:color="auto" w:frame="1"/>
          <w:vertAlign w:val="superscript"/>
        </w:rPr>
        <w:t>1</w:t>
      </w:r>
      <w:r w:rsidRPr="00363EC4">
        <w:rPr>
          <w:color w:val="444444"/>
        </w:rPr>
        <w:t>.  I think the struggle with standardizing electronic signatures and data management systems stems from the various technology options that are now available, and the customization of electronic systems, most of which may not compatible with each other.  Consider a blood bank – there is one electronic system to collect donor information, another system that manages their SOPs, another system that tests the blood and reports the results, and another system that tracks the blood through distribution.  That means there are 4 systems that have to be validated, 4 systems staff must be trained on, and 4 systems that must be accessed during inspections.  These 4 systems may not fit the needs for drug or medical device manufacturers.  There are also various ways to authenticate electronic signatures (ex. user name and password vs. biometrics), which makes standardization more difficult.</w:t>
      </w:r>
    </w:p>
    <w:p w:rsidR="003A2161" w:rsidRPr="00363EC4" w:rsidRDefault="003A2161" w:rsidP="003A2161">
      <w:pPr>
        <w:pStyle w:val="NormalWeb"/>
        <w:spacing w:before="0" w:beforeAutospacing="0" w:after="0" w:afterAutospacing="0"/>
        <w:ind w:left="720"/>
        <w:rPr>
          <w:color w:val="444444"/>
        </w:rPr>
      </w:pPr>
    </w:p>
    <w:p w:rsidR="008C2FDC" w:rsidRPr="00363EC4" w:rsidRDefault="008C2FDC" w:rsidP="008C2FDC">
      <w:pPr>
        <w:pStyle w:val="NormalWeb"/>
        <w:spacing w:before="0" w:beforeAutospacing="0" w:after="0" w:afterAutospacing="0"/>
        <w:rPr>
          <w:color w:val="444444"/>
        </w:rPr>
      </w:pPr>
      <w:r w:rsidRPr="00363EC4">
        <w:rPr>
          <w:color w:val="444444"/>
        </w:rPr>
        <w:lastRenderedPageBreak/>
        <w:t xml:space="preserve">Additionally, in order to inspect electronic systems and automated functions, the inspector may have to be trained on the system in order to perform a thorough inspection.  Without training, the inspector may not know if it is being used properly or if it is functioning properly.  Another struggle with electronic signatures that I’ve personally experienced is for </w:t>
      </w:r>
      <w:proofErr w:type="gramStart"/>
      <w:r w:rsidRPr="00363EC4">
        <w:rPr>
          <w:color w:val="444444"/>
        </w:rPr>
        <w:t>staff that have</w:t>
      </w:r>
      <w:proofErr w:type="gramEnd"/>
      <w:r w:rsidRPr="00363EC4">
        <w:rPr>
          <w:color w:val="444444"/>
        </w:rPr>
        <w:t xml:space="preserve"> to perform functions in a sterile manner.  It can be difficult to sign paperwork electronically when you are in sterile PPE (personal protective equipment) and can’t sterilize your keyboard or signature pad to sign off on work being performed in a concurrent manner.  In summary, the different documentation requirements for each industry, added to the various technology and different systems available today, makes standardization very difficult.  It gets even </w:t>
      </w:r>
      <w:proofErr w:type="gramStart"/>
      <w:r w:rsidRPr="00363EC4">
        <w:rPr>
          <w:color w:val="444444"/>
        </w:rPr>
        <w:t>more tricky</w:t>
      </w:r>
      <w:proofErr w:type="gramEnd"/>
      <w:r w:rsidRPr="00363EC4">
        <w:rPr>
          <w:color w:val="444444"/>
        </w:rPr>
        <w:t xml:space="preserve"> depending on if the electronic systems were in place before 1997 or after, in which predicate rules come into play</w:t>
      </w:r>
      <w:r w:rsidRPr="00363EC4">
        <w:rPr>
          <w:color w:val="444444"/>
          <w:bdr w:val="none" w:sz="0" w:space="0" w:color="auto" w:frame="1"/>
          <w:vertAlign w:val="superscript"/>
        </w:rPr>
        <w:t>2</w:t>
      </w:r>
      <w:r w:rsidRPr="00363EC4">
        <w:rPr>
          <w:color w:val="444444"/>
        </w:rPr>
        <w:t>. </w:t>
      </w:r>
    </w:p>
    <w:p w:rsidR="00A60C28" w:rsidRPr="00363EC4" w:rsidRDefault="00D93941" w:rsidP="008C2FDC">
      <w:pPr>
        <w:pStyle w:val="NormalWeb"/>
        <w:spacing w:before="0" w:beforeAutospacing="0" w:after="0" w:afterAutospacing="0"/>
        <w:rPr>
          <w:color w:val="444444"/>
        </w:rPr>
      </w:pPr>
      <w:r w:rsidRPr="00363EC4">
        <w:rPr>
          <w:color w:val="444444"/>
        </w:rPr>
        <w:t xml:space="preserve">I agree with your opinion that lack of compatibility in systems makes </w:t>
      </w:r>
    </w:p>
    <w:p w:rsidR="00363EC4" w:rsidRPr="00363EC4" w:rsidRDefault="00363EC4" w:rsidP="003A2161">
      <w:pPr>
        <w:pStyle w:val="NormalWeb"/>
        <w:spacing w:before="0" w:beforeAutospacing="0" w:after="0" w:afterAutospacing="0"/>
        <w:ind w:left="720"/>
        <w:rPr>
          <w:b/>
          <w:color w:val="444444"/>
        </w:rPr>
      </w:pPr>
    </w:p>
    <w:p w:rsidR="003A2161" w:rsidRPr="00363EC4" w:rsidRDefault="003A2161" w:rsidP="003A2161">
      <w:pPr>
        <w:pStyle w:val="NormalWeb"/>
        <w:spacing w:before="0" w:beforeAutospacing="0" w:after="0" w:afterAutospacing="0"/>
        <w:ind w:left="720"/>
        <w:rPr>
          <w:b/>
          <w:color w:val="444444"/>
        </w:rPr>
      </w:pPr>
      <w:r w:rsidRPr="00363EC4">
        <w:rPr>
          <w:b/>
          <w:color w:val="444444"/>
        </w:rPr>
        <w:t>Response</w:t>
      </w:r>
    </w:p>
    <w:p w:rsidR="00A60C28" w:rsidRPr="00363EC4" w:rsidRDefault="003A2161" w:rsidP="008C2FDC">
      <w:pPr>
        <w:pStyle w:val="NormalWeb"/>
        <w:spacing w:before="0" w:beforeAutospacing="0" w:after="0" w:afterAutospacing="0"/>
        <w:rPr>
          <w:color w:val="444444"/>
        </w:rPr>
      </w:pPr>
      <w:r w:rsidRPr="00363EC4">
        <w:rPr>
          <w:color w:val="444444"/>
        </w:rPr>
        <w:t>Actually I do not see how lack of homogeneity in an organization’s systems could make standardizing electronic signatures harder for the FDA. Whether the systems are homogenous or not, what matters most is that they all comply with the FDA standards regarding electronic signatures. After all in the example that you have used, I still think that even if the organization was using non-electronic records, it would still need to train four people to handle the four systems. In the same manner, I opine that the personal protective equipment could not be such a significant hindrance for electronic signatures, given the various authentication processes. For instance, if the PPE is a hindrance to biometrics authentication, there is the alternative of using the password or username.  In the same vein, the FDA standardization for electronic records makes it easy for the inspectors. This is because, by setting the various standards, the FDA yields homogenization of the systems. For example, in the illustration you had given above, the inspectors do not have to learn how each of the four systems operates. What they are actually interested in is electronic data. Therefore if the systems have complied with the FDA’s standards regarding electronic data, the inspector will be trained once on how to inspect the “electronic data element” in various systems.</w:t>
      </w:r>
    </w:p>
    <w:p w:rsidR="008C2FDC" w:rsidRPr="00363EC4" w:rsidRDefault="008C2FDC" w:rsidP="005950AB">
      <w:pPr>
        <w:pStyle w:val="ListParagraph"/>
        <w:rPr>
          <w:rFonts w:ascii="Times New Roman" w:hAnsi="Times New Roman" w:cs="Times New Roman"/>
        </w:rPr>
      </w:pPr>
    </w:p>
    <w:p w:rsidR="005950AB" w:rsidRPr="00363EC4" w:rsidRDefault="008C2FDC" w:rsidP="005950AB">
      <w:pPr>
        <w:pStyle w:val="NormalWeb"/>
        <w:spacing w:before="0" w:beforeAutospacing="0" w:after="0" w:afterAutospacing="0"/>
        <w:rPr>
          <w:color w:val="444444"/>
        </w:rPr>
      </w:pPr>
      <w:r w:rsidRPr="00363EC4">
        <w:t>3</w:t>
      </w:r>
      <w:r w:rsidR="005950AB" w:rsidRPr="00363EC4">
        <w:t xml:space="preserve">. </w:t>
      </w:r>
      <w:r w:rsidR="005950AB" w:rsidRPr="00363EC4">
        <w:rPr>
          <w:color w:val="444444"/>
        </w:rPr>
        <w:t>In addition to the above mentioned services, Medicare Part B covers prosthetic devices, diagnostic non-laboratory tests, and drugs and biologics. Specifically for drugs and biologics, it must be considered medically reasonable and necessary as outlined in Local Coverage Articles for various states. For example article </w:t>
      </w:r>
      <w:hyperlink r:id="rId5" w:tgtFrame="_blank" w:tooltip="A55639" w:history="1">
        <w:r w:rsidR="005950AB" w:rsidRPr="00363EC4">
          <w:rPr>
            <w:rStyle w:val="Hyperlink"/>
            <w:color w:val="00748B"/>
            <w:bdr w:val="none" w:sz="0" w:space="0" w:color="auto" w:frame="1"/>
          </w:rPr>
          <w:t>A55639</w:t>
        </w:r>
      </w:hyperlink>
      <w:r w:rsidR="005950AB" w:rsidRPr="00363EC4">
        <w:rPr>
          <w:rStyle w:val="apple-converted-space"/>
          <w:color w:val="444444"/>
        </w:rPr>
        <w:t> </w:t>
      </w:r>
      <w:r w:rsidR="005950AB" w:rsidRPr="00363EC4">
        <w:rPr>
          <w:color w:val="444444"/>
        </w:rPr>
        <w:t>on the CMS.gov website shows what disease indications and ICD-codes are covered and considered medically necessary for the Rituximab, an infusion medication, by the Wisconsin Physicians Service Insurance Corporation.</w:t>
      </w:r>
    </w:p>
    <w:p w:rsidR="005950AB" w:rsidRPr="00363EC4" w:rsidRDefault="005950AB" w:rsidP="005950AB">
      <w:pPr>
        <w:pStyle w:val="NormalWeb"/>
        <w:spacing w:before="0" w:beforeAutospacing="0" w:after="0" w:afterAutospacing="0"/>
        <w:rPr>
          <w:color w:val="444444"/>
        </w:rPr>
      </w:pPr>
      <w:r w:rsidRPr="00363EC4">
        <w:rPr>
          <w:color w:val="444444"/>
        </w:rPr>
        <w:t>Diagnostic non-laboratory tests include CT scans, EKGs, MRIs, and PET scans. However, non-laboratory tests are only covered if doctor or health care provider orders it and ordered as part of a treatment for a medical issue. Prosthetic devices, such as cochlear implants and urological supplies, must replace a body part of function and must be ordered by a doctor enrolled in Medicare for it to be covered under Medicare Part B. Local Coverage Article for urological supplies is attached</w:t>
      </w:r>
      <w:r w:rsidRPr="00363EC4">
        <w:rPr>
          <w:rStyle w:val="apple-converted-space"/>
          <w:color w:val="444444"/>
        </w:rPr>
        <w:t> </w:t>
      </w:r>
      <w:hyperlink r:id="rId6" w:tgtFrame="_blank" w:history="1">
        <w:r w:rsidRPr="00363EC4">
          <w:rPr>
            <w:rStyle w:val="Hyperlink"/>
            <w:color w:val="00748B"/>
            <w:bdr w:val="none" w:sz="0" w:space="0" w:color="auto" w:frame="1"/>
          </w:rPr>
          <w:t>here</w:t>
        </w:r>
      </w:hyperlink>
      <w:r w:rsidRPr="00363EC4">
        <w:rPr>
          <w:color w:val="444444"/>
        </w:rPr>
        <w:t>.</w:t>
      </w:r>
    </w:p>
    <w:p w:rsidR="00F743A2" w:rsidRPr="00363EC4" w:rsidRDefault="00F743A2" w:rsidP="005950AB">
      <w:pPr>
        <w:pStyle w:val="NormalWeb"/>
        <w:spacing w:before="0" w:beforeAutospacing="0" w:after="0" w:afterAutospacing="0"/>
        <w:rPr>
          <w:color w:val="444444"/>
        </w:rPr>
      </w:pPr>
    </w:p>
    <w:p w:rsidR="00363EC4" w:rsidRPr="00363EC4" w:rsidRDefault="00363EC4" w:rsidP="00EB06FD">
      <w:pPr>
        <w:pStyle w:val="NormalWeb"/>
        <w:spacing w:before="0" w:beforeAutospacing="0" w:after="0" w:afterAutospacing="0"/>
        <w:jc w:val="center"/>
        <w:rPr>
          <w:b/>
          <w:color w:val="444444"/>
        </w:rPr>
      </w:pPr>
    </w:p>
    <w:p w:rsidR="00363EC4" w:rsidRDefault="00363EC4" w:rsidP="00EB06FD">
      <w:pPr>
        <w:pStyle w:val="NormalWeb"/>
        <w:spacing w:before="0" w:beforeAutospacing="0" w:after="0" w:afterAutospacing="0"/>
        <w:jc w:val="center"/>
        <w:rPr>
          <w:b/>
          <w:color w:val="444444"/>
        </w:rPr>
      </w:pPr>
    </w:p>
    <w:p w:rsidR="00363EC4" w:rsidRDefault="00363EC4" w:rsidP="00EB06FD">
      <w:pPr>
        <w:pStyle w:val="NormalWeb"/>
        <w:spacing w:before="0" w:beforeAutospacing="0" w:after="0" w:afterAutospacing="0"/>
        <w:jc w:val="center"/>
        <w:rPr>
          <w:b/>
          <w:color w:val="444444"/>
        </w:rPr>
      </w:pPr>
    </w:p>
    <w:p w:rsidR="00F743A2" w:rsidRPr="00363EC4" w:rsidRDefault="00F743A2" w:rsidP="00EB06FD">
      <w:pPr>
        <w:pStyle w:val="NormalWeb"/>
        <w:spacing w:before="0" w:beforeAutospacing="0" w:after="0" w:afterAutospacing="0"/>
        <w:jc w:val="center"/>
        <w:rPr>
          <w:b/>
          <w:color w:val="444444"/>
        </w:rPr>
      </w:pPr>
      <w:r w:rsidRPr="00363EC4">
        <w:rPr>
          <w:b/>
          <w:color w:val="444444"/>
        </w:rPr>
        <w:lastRenderedPageBreak/>
        <w:t>Response</w:t>
      </w:r>
    </w:p>
    <w:p w:rsidR="005950AB" w:rsidRPr="00363EC4" w:rsidRDefault="00F743A2" w:rsidP="001D66E7">
      <w:pPr>
        <w:pStyle w:val="NormalWeb"/>
        <w:spacing w:before="0" w:beforeAutospacing="0" w:after="0" w:afterAutospacing="0"/>
        <w:rPr>
          <w:color w:val="444444"/>
        </w:rPr>
      </w:pPr>
      <w:r w:rsidRPr="00363EC4">
        <w:rPr>
          <w:color w:val="444444"/>
        </w:rPr>
        <w:t>Indeed, the services you have mentioned above are covered in Medicare Part B.</w:t>
      </w:r>
      <w:r w:rsidR="00EB06FD" w:rsidRPr="00363EC4">
        <w:rPr>
          <w:color w:val="444444"/>
        </w:rPr>
        <w:t xml:space="preserve"> In emphasis</w:t>
      </w:r>
      <w:r w:rsidR="00BA0EEA" w:rsidRPr="00363EC4">
        <w:rPr>
          <w:color w:val="444444"/>
        </w:rPr>
        <w:t xml:space="preserve"> to what you have indicated about prosthetic devices, Medicare part B specifically covers prosthetic and orthotic items.  </w:t>
      </w:r>
      <w:r w:rsidR="00EB06FD" w:rsidRPr="00363EC4">
        <w:rPr>
          <w:color w:val="444444"/>
        </w:rPr>
        <w:t>For</w:t>
      </w:r>
      <w:r w:rsidR="001D66E7" w:rsidRPr="00363EC4">
        <w:rPr>
          <w:color w:val="444444"/>
        </w:rPr>
        <w:t xml:space="preserve"> instance, items</w:t>
      </w:r>
      <w:r w:rsidR="00BA0EEA" w:rsidRPr="00363EC4">
        <w:rPr>
          <w:color w:val="444444"/>
        </w:rPr>
        <w:t xml:space="preserve"> such as limbs, braces, artificial eyes</w:t>
      </w:r>
      <w:r w:rsidR="001D66E7" w:rsidRPr="00363EC4">
        <w:rPr>
          <w:color w:val="444444"/>
        </w:rPr>
        <w:t xml:space="preserve"> are covered</w:t>
      </w:r>
      <w:r w:rsidR="00BA0EEA" w:rsidRPr="00363EC4">
        <w:rPr>
          <w:color w:val="444444"/>
        </w:rPr>
        <w:t xml:space="preserve">. It also covers some types of breast </w:t>
      </w:r>
      <w:r w:rsidR="001D66E7" w:rsidRPr="00363EC4">
        <w:rPr>
          <w:color w:val="444444"/>
        </w:rPr>
        <w:t>prostheses</w:t>
      </w:r>
      <w:r w:rsidR="00BA0EEA" w:rsidRPr="00363EC4">
        <w:rPr>
          <w:color w:val="444444"/>
        </w:rPr>
        <w:t xml:space="preserve"> but only after mastectomy.</w:t>
      </w:r>
      <w:r w:rsidR="00EB06FD" w:rsidRPr="00363EC4">
        <w:rPr>
          <w:color w:val="444444"/>
        </w:rPr>
        <w:t xml:space="preserve"> This means that breast prostheses for cosmetic and other purposes are not covered.</w:t>
      </w:r>
      <w:r w:rsidRPr="00363EC4">
        <w:rPr>
          <w:color w:val="444444"/>
        </w:rPr>
        <w:t xml:space="preserve"> </w:t>
      </w:r>
      <w:r w:rsidR="001D66E7" w:rsidRPr="00363EC4">
        <w:rPr>
          <w:color w:val="444444"/>
        </w:rPr>
        <w:t xml:space="preserve">It </w:t>
      </w:r>
      <w:r w:rsidR="00EB06FD" w:rsidRPr="00363EC4">
        <w:rPr>
          <w:color w:val="444444"/>
        </w:rPr>
        <w:t>i</w:t>
      </w:r>
      <w:r w:rsidR="001D66E7" w:rsidRPr="00363EC4">
        <w:rPr>
          <w:color w:val="444444"/>
        </w:rPr>
        <w:t>s also worthwhile to note that in cases where the</w:t>
      </w:r>
      <w:r w:rsidR="00EB06FD" w:rsidRPr="00363EC4">
        <w:rPr>
          <w:color w:val="444444"/>
        </w:rPr>
        <w:t xml:space="preserve"> mentioned</w:t>
      </w:r>
      <w:r w:rsidR="001D66E7" w:rsidRPr="00363EC4">
        <w:rPr>
          <w:color w:val="444444"/>
        </w:rPr>
        <w:t xml:space="preserve"> </w:t>
      </w:r>
      <w:r w:rsidR="00EB06FD" w:rsidRPr="00363EC4">
        <w:rPr>
          <w:color w:val="444444"/>
        </w:rPr>
        <w:t>diagnostic</w:t>
      </w:r>
      <w:r w:rsidR="001D66E7" w:rsidRPr="00363EC4">
        <w:rPr>
          <w:color w:val="444444"/>
        </w:rPr>
        <w:t xml:space="preserve"> tests are gotten in a hospital, the </w:t>
      </w:r>
      <w:r w:rsidR="00EB06FD" w:rsidRPr="00363EC4">
        <w:rPr>
          <w:color w:val="444444"/>
        </w:rPr>
        <w:t>patient</w:t>
      </w:r>
      <w:r w:rsidR="001D66E7" w:rsidRPr="00363EC4">
        <w:rPr>
          <w:color w:val="444444"/>
        </w:rPr>
        <w:t xml:space="preserve"> </w:t>
      </w:r>
      <w:r w:rsidR="00EB06FD" w:rsidRPr="00363EC4">
        <w:rPr>
          <w:color w:val="444444"/>
        </w:rPr>
        <w:t>m</w:t>
      </w:r>
      <w:r w:rsidR="001D66E7" w:rsidRPr="00363EC4">
        <w:rPr>
          <w:color w:val="444444"/>
        </w:rPr>
        <w:t>ay be required to pay a copayment to the hospital. In a similar manner, there are various restrictions regarding the coverage of the screening services. For instance, while some screening are free, there is a limitation of how often Medicare should pay for some of the screening.</w:t>
      </w:r>
      <w:r w:rsidR="00EB06FD" w:rsidRPr="00363EC4">
        <w:rPr>
          <w:color w:val="444444"/>
        </w:rPr>
        <w:t xml:space="preserve"> Other services that you have not mentioned include shots, second surgical opinions, pulmonary rehabilitation, and physical therapy among others. Some restrictions may apply in some of these services.</w:t>
      </w:r>
    </w:p>
    <w:sectPr w:rsidR="005950AB" w:rsidRPr="00363EC4"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DEA"/>
    <w:multiLevelType w:val="hybridMultilevel"/>
    <w:tmpl w:val="B1D2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674CF"/>
    <w:multiLevelType w:val="hybridMultilevel"/>
    <w:tmpl w:val="3DC07380"/>
    <w:lvl w:ilvl="0" w:tplc="AF248B44">
      <w:start w:val="1"/>
      <w:numFmt w:val="decimal"/>
      <w:lvlText w:val="%1."/>
      <w:lvlJc w:val="left"/>
      <w:pPr>
        <w:ind w:left="720" w:hanging="360"/>
      </w:pPr>
      <w:rPr>
        <w:rFonts w:ascii="Georgia" w:hAnsi="Georgia" w:hint="default"/>
        <w:color w:val="44444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F73018"/>
    <w:multiLevelType w:val="hybridMultilevel"/>
    <w:tmpl w:val="66C4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950AB"/>
    <w:rsid w:val="00014AA8"/>
    <w:rsid w:val="00077501"/>
    <w:rsid w:val="000F03EB"/>
    <w:rsid w:val="001D66E7"/>
    <w:rsid w:val="001E69C6"/>
    <w:rsid w:val="0029767E"/>
    <w:rsid w:val="00363EC4"/>
    <w:rsid w:val="003A2161"/>
    <w:rsid w:val="005950AB"/>
    <w:rsid w:val="006A4428"/>
    <w:rsid w:val="007B3C3D"/>
    <w:rsid w:val="008C2FDC"/>
    <w:rsid w:val="00956F50"/>
    <w:rsid w:val="00A60C28"/>
    <w:rsid w:val="00BA0EEA"/>
    <w:rsid w:val="00BC120C"/>
    <w:rsid w:val="00CD36B6"/>
    <w:rsid w:val="00D93941"/>
    <w:rsid w:val="00EB06FD"/>
    <w:rsid w:val="00F743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0AB"/>
    <w:pPr>
      <w:ind w:left="720"/>
      <w:contextualSpacing/>
    </w:pPr>
  </w:style>
  <w:style w:type="paragraph" w:styleId="NormalWeb">
    <w:name w:val="Normal (Web)"/>
    <w:basedOn w:val="Normal"/>
    <w:uiPriority w:val="99"/>
    <w:unhideWhenUsed/>
    <w:rsid w:val="005950A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950AB"/>
    <w:rPr>
      <w:color w:val="0000FF"/>
      <w:u w:val="single"/>
    </w:rPr>
  </w:style>
  <w:style w:type="character" w:customStyle="1" w:styleId="apple-converted-space">
    <w:name w:val="apple-converted-space"/>
    <w:basedOn w:val="DefaultParagraphFont"/>
    <w:rsid w:val="005950AB"/>
  </w:style>
</w:styles>
</file>

<file path=word/webSettings.xml><?xml version="1.0" encoding="utf-8"?>
<w:webSettings xmlns:r="http://schemas.openxmlformats.org/officeDocument/2006/relationships" xmlns:w="http://schemas.openxmlformats.org/wordprocessingml/2006/main">
  <w:divs>
    <w:div w:id="1300301367">
      <w:bodyDiv w:val="1"/>
      <w:marLeft w:val="0"/>
      <w:marRight w:val="0"/>
      <w:marTop w:val="0"/>
      <w:marBottom w:val="0"/>
      <w:divBdr>
        <w:top w:val="none" w:sz="0" w:space="0" w:color="auto"/>
        <w:left w:val="none" w:sz="0" w:space="0" w:color="auto"/>
        <w:bottom w:val="none" w:sz="0" w:space="0" w:color="auto"/>
        <w:right w:val="none" w:sz="0" w:space="0" w:color="auto"/>
      </w:divBdr>
    </w:div>
    <w:div w:id="167760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medicare-coverage-database/details/article-details.aspx?articleId=52521&amp;ver=13&amp;SearchType=Advanced&amp;CoverageSelection=Both&amp;NCSelection=NCA%7cCAL%7cNCD%7cMEDCAC%7cTA%7cMCD&amp;ArticleType=SAD%7cEd&amp;PolicyType=Both&amp;s=22&amp;KeyWord=catheter&amp;KeyWordLookUp=Doc&amp;KeyWordSearchType=Exact&amp;kq=true&amp;bc=IAAAACAAAAAA&amp;" TargetMode="External"/><Relationship Id="rId5" Type="http://schemas.openxmlformats.org/officeDocument/2006/relationships/hyperlink" Target="https://www.cms.gov/medicare-coverage-database/details/article-details.aspx?articleId=55639&amp;ver=8&amp;SearchType=Advanced&amp;CoverageSelection=Both&amp;NCSelection=NCA%7cCAL%7cNCD%7cMEDCAC%7cTA%7cMCD&amp;ArticleType=SAD%7cEd&amp;PolicyType=Both&amp;s=22&amp;KeyWord=rituximab&amp;KeyWordLookUp=Doc&amp;KeyWordSearchType=Exact&amp;kq=true&amp;bc=IAAAACAAAAAA&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pc</cp:lastModifiedBy>
  <cp:revision>2</cp:revision>
  <dcterms:created xsi:type="dcterms:W3CDTF">2018-06-24T13:11:00Z</dcterms:created>
  <dcterms:modified xsi:type="dcterms:W3CDTF">2018-06-24T13:11:00Z</dcterms:modified>
</cp:coreProperties>
</file>