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2"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3"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4"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5"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6"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7"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8"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9" w:rsidP="00000000" w:rsidRPr="00000000">
      <w:pPr>
        <w:jc w:val="left"/>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A"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Weekly Article Summary 1</w:t>
      </w:r>
    </w:p>
    <w:p w:rsidR="00000000" w:rsidDel="00000000" w:rsidRDefault="00000000" w14:paraId="0000000B"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Name:</w:t>
      </w:r>
    </w:p>
    <w:p w:rsidR="00000000" w:rsidDel="00000000" w:rsidRDefault="00000000" w14:paraId="0000000C"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Institution:</w:t>
      </w:r>
    </w:p>
    <w:p w:rsidR="00000000" w:rsidDel="00000000" w:rsidRDefault="00000000" w14:paraId="0000000D"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E"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0F"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0"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1"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2"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3"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4"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5" w:rsidP="00000000" w:rsidRPr="00000000">
      <w:pPr>
        <w:jc w:val="left"/>
        <w:spacing w:line="480" w:lineRule="auto"/>
        <w:rPr>
          <w:rFonts w:ascii="Times New Roman" w:cs="Times New Roman" w:eastAsia="Times New Roman" w:hAnsi="Times New Roman"/>
          <w:sz w:val="24"/>
          <w:szCs w:val="24"/>
        </w:rPr>
      </w:pPr>
      <w:r w:rsidR="00000000" w:rsidDel="00000000" w:rsidRPr="00000000">
        <w:rPr>
          <w:rtl w:val="0"/>
        </w:rPr>
      </w:r>
    </w:p>
    <w:p>
      <w:pPr>
        <w:jc w:val="left"/>
        <w:spacing w:line="480" w:lineRule="auto"/>
      </w:pPr>
    </w:p>
    <w:p>
      <w:pPr>
        <w:jc w:val="left"/>
        <w:spacing w:line="480" w:lineRule="auto"/>
      </w:pPr>
    </w:p>
    <w:p>
      <w:pPr>
        <w:jc w:val="left"/>
        <w:spacing w:line="480" w:lineRule="auto"/>
      </w:pPr>
    </w:p>
    <w:p w:rsidR="00000000" w:rsidDel="00000000" w:rsidRDefault="00000000" w14:paraId="00000016"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7" w:rsidP="00000000" w:rsidRPr="00000000">
      <w:pPr>
        <w:jc w:val="center"/>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Weekly Article Summary 1</w:t>
      </w:r>
    </w:p>
    <w:p w:rsidR="00000000" w:rsidDel="00000000" w:rsidRDefault="00000000" w14:paraId="00000018" w:rsidP="00000000" w:rsidRPr="00000000">
      <w:pPr>
        <w:ind w:firstLine="720"/>
        <w:spacing w:line="480" w:lineRule="auto"/>
        <w:rPr>
          <w:i/>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article of focus for this summary is authored by Lee, Ryu and Sung (2018) with the title, “Association of baseline level of physical activity and its temporal changes with incident hypertension and diabetes mellitus,” and published in the </w:t>
      </w:r>
      <w:r w:rsidR="00000000" w:rsidDel="00000000" w:rsidRPr="00000000">
        <w:rPr>
          <w:rtl w:val="0"/>
          <w:i/>
          <w:rFonts w:ascii="Times New Roman" w:cs="Times New Roman" w:eastAsia="Times New Roman" w:hAnsi="Times New Roman"/>
          <w:sz w:val="24"/>
          <w:szCs w:val="24"/>
        </w:rPr>
        <w:t xml:space="preserve">European Journal of Preventive Cardiology. </w:t>
      </w:r>
    </w:p>
    <w:p w:rsidR="00000000" w:rsidDel="00000000" w:rsidRDefault="00000000" w14:paraId="00000019" w:rsidP="00000000" w:rsidRPr="00000000">
      <w:pPr>
        <w:spacing w:line="48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Lee et al (2018) conducted a cohort study where they sought to find out the effects of physical activity (PA) on hypertension and diabetes mellitus. PA is documented as one aspect through which individuals can ensure a healthy lifestyle while also reducing the prevalence rates of some chronic illnesses, including, hypertension, diabetes, obesity, and cardiovascular ailments (Marques et al., 2018).</w:t>
      </w:r>
    </w:p>
    <w:p w:rsidR="00000000" w:rsidDel="00000000" w:rsidRDefault="00000000" w14:paraId="0000001A"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The purpose of the study was to explore the effects of PA at baseline level and the changes associated with the same for individuals who present with hypertension and diabetes mellitus. The participants underwent comprehensive health tests annually or every two years in Kangbuk Samsung Hospital in South Korea (Lee et al., 2018). Inclusion in the study entailed a consideration of individuals who had undergone screening for at least twice between January 2002 and December 2014. </w:t>
      </w:r>
    </w:p>
    <w:p w:rsidR="00000000" w:rsidDel="00000000" w:rsidRDefault="00000000" w14:paraId="0000001B"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The authors did not specify the research questions of their study but relied on specific measures to report the findings. The measures included self-administered questionnaires requiring the medical history of the participant and familiarity with PA; assessment of the baseline PA through a self-administered International Physical Activity Questionnaire-Korean version (Lee et al., 2018).</w:t>
      </w:r>
    </w:p>
    <w:p w:rsidR="00000000" w:rsidDel="00000000" w:rsidRDefault="00000000" w14:paraId="0000001C"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The findings show that PA, whether at baseline level or inclusive of temporal changes, has an effect on the risk of incident hypertension and diabetes mellitus (Lee et al., 2018). Individuals who increased their levels of PA lowered the risk of hypertension and diabetes mellitus. As such, PA can be utilized as a primary intervention or preventive measure for hypertension and diabetes.</w:t>
      </w:r>
    </w:p>
    <w:p w:rsidR="00000000" w:rsidDel="00000000" w:rsidRDefault="00000000" w14:paraId="0000001D"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E"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1F"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0"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1"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2"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3"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4"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5"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6"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7"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8"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9"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A"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B"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C"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D"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rsidR="00000000" w:rsidDel="00000000" w:rsidRDefault="00000000" w14:paraId="0000002E"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p>
      <w:pPr>
        <w:ind w:firstLine="720"/>
        <w:spacing w:line="480" w:lineRule="auto"/>
      </w:pPr>
    </w:p>
    <w:p>
      <w:pPr>
        <w:ind w:firstLine="720"/>
        <w:spacing w:line="480" w:lineRule="auto"/>
      </w:pPr>
    </w:p>
    <w:p w:rsidR="00000000" w:rsidDel="00000000" w:rsidRDefault="00000000" w14:paraId="0000002F" w:rsidP="00000000" w:rsidRPr="00000000">
      <w:pPr>
        <w:jc w:val="center"/>
        <w:ind w:firstLine="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References</w:t>
      </w:r>
    </w:p>
    <w:p w:rsidR="00000000" w:rsidDel="00000000" w:rsidRDefault="00000000" w14:paraId="00000030" w:rsidP="00000000" w:rsidRPr="00000000">
      <w:pPr>
        <w:ind w:left="720"/>
        <w:ind w:hanging="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Lee, J.-Y., Ryu, S., &amp; Sung, K.-C. (2018). Association of baseline level of physical activity and its temporal changes with incident hypertension and diabetes mellitus. </w:t>
      </w:r>
      <w:r w:rsidR="00000000" w:rsidDel="00000000" w:rsidRPr="00000000">
        <w:rPr>
          <w:rtl w:val="0"/>
          <w:i/>
          <w:rFonts w:ascii="Times New Roman" w:cs="Times New Roman" w:eastAsia="Times New Roman" w:hAnsi="Times New Roman"/>
          <w:sz w:val="24"/>
          <w:szCs w:val="24"/>
        </w:rPr>
        <w:t>European Journal of Preventive Cardiology, 25</w:t>
      </w:r>
      <w:r w:rsidR="00000000" w:rsidDel="00000000" w:rsidRPr="00000000">
        <w:rPr>
          <w:rtl w:val="0"/>
          <w:rFonts w:ascii="Times New Roman" w:cs="Times New Roman" w:eastAsia="Times New Roman" w:hAnsi="Times New Roman"/>
          <w:sz w:val="24"/>
          <w:szCs w:val="24"/>
        </w:rPr>
        <w:t>(10), 1065-1073. Doi: 10.1177/2047487318774419</w:t>
      </w:r>
    </w:p>
    <w:p w:rsidR="00000000" w:rsidDel="00000000" w:rsidRDefault="00000000" w14:paraId="00000031" w:rsidP="00000000" w:rsidRPr="00000000">
      <w:pPr>
        <w:ind w:left="720"/>
        <w:ind w:hanging="720"/>
        <w:spacing w:line="48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Marques, A., Santos, T., Martins, J., Matos, M. G., &amp; Valeiro. M. G. (2018). The association between physical activity and chronic diseases in European adults. </w:t>
      </w:r>
      <w:r w:rsidR="00000000" w:rsidDel="00000000" w:rsidRPr="00000000">
        <w:rPr>
          <w:rtl w:val="0"/>
          <w:i/>
          <w:rFonts w:ascii="Times New Roman" w:cs="Times New Roman" w:eastAsia="Times New Roman" w:hAnsi="Times New Roman"/>
          <w:sz w:val="24"/>
          <w:szCs w:val="24"/>
        </w:rPr>
        <w:t>Eur J Sport Sci., 18</w:t>
      </w:r>
      <w:r w:rsidR="00000000" w:rsidDel="00000000" w:rsidRPr="00000000">
        <w:rPr>
          <w:rtl w:val="0"/>
          <w:rFonts w:ascii="Times New Roman" w:cs="Times New Roman" w:eastAsia="Times New Roman" w:hAnsi="Times New Roman"/>
          <w:sz w:val="24"/>
          <w:szCs w:val="24"/>
        </w:rPr>
        <w:t xml:space="preserve">(1), 140-149. Doi: 10.1080/17461391.2017.1400109 </w:t>
      </w:r>
    </w:p>
    <w:p w:rsidR="00000000" w:rsidDel="00000000" w:rsidRDefault="00000000" w14:paraId="00000032" w:rsidP="00000000" w:rsidRPr="00000000">
      <w:pPr>
        <w:ind w:firstLine="720"/>
        <w:spacing w:line="480" w:lineRule="auto"/>
        <w:rPr>
          <w:rFonts w:ascii="Times New Roman" w:cs="Times New Roman" w:eastAsia="Times New Roman" w:hAnsi="Times New Roman"/>
          <w:sz w:val="24"/>
          <w:szCs w:val="24"/>
        </w:rPr>
      </w:pPr>
      <w:r w:rsidR="00000000" w:rsidDel="00000000" w:rsidRPr="00000000">
        <w:rPr>
          <w:rtl w:val="0"/>
        </w:rPr>
      </w:r>
    </w:p>
    <w:sectPr w:val="1">
      <w:headerReference r:id="rId6" w:type="default"/>
      <w:headerReference r:id="rId7" w:type="first"/>
      <w:footerReference r:id="rId8" w:type="first"/>
      <w:pgNumType w:start="1"/>
      <w:pgSz w:w="12240" w:h="15840"/>
      <w:pgMar w:left="1440" w:right="1440" w:top="1440" w:bottom="1440" w:header="720" w:footer="720"/>
      <w:titlePg/>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Calibri"/>
  <w:font w:name="Cambria"/>
  <w:font w:name="Symbo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Fonts w:ascii="Times New Roman" w:cs="Times New Roman" w:eastAsia="Times New Roman" w:hAnsi="Times New Roman"/>
        <w:sz w:val="24"/>
        <w:szCs w:val="24"/>
        <w:rtl w:val="0"/>
      </w:rPr>
      <w:t xml:space="preserve">WEEKLY ARTICLE SUMMARY 1</w:t>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Fonts w:ascii="Times New Roman" w:cs="Times New Roman" w:eastAsia="Times New Roman" w:hAnsi="Times New Roman"/>
        <w:sz w:val="24"/>
        <w:szCs w:val="24"/>
        <w:rtl w:val="0"/>
      </w:rPr>
      <w:t xml:space="preserve">Running head: WEEKLY ARTICLE SUMMARY 1</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tab/>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