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02"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03"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04"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05"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06"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07"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08"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09"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0A"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Separation of Personal Values/Beliefs and Ethics of Practice</w:t>
      </w:r>
    </w:p>
    <w:p w:rsidR="00000000" w:rsidDel="00000000" w:rsidRDefault="00000000" w14:paraId="0000000B"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Name:</w:t>
      </w:r>
    </w:p>
    <w:p w:rsidR="00000000" w:rsidDel="00000000" w:rsidRDefault="00000000" w14:paraId="0000000C"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Institution:</w:t>
      </w:r>
    </w:p>
    <w:p w:rsidR="00000000" w:rsidDel="00000000" w:rsidRDefault="00000000" w14:paraId="0000000D"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0E"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0F"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10"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11"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12"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13"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14"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15"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16"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17"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Separation of Personal Values/Beliefs and Ethics of Practice</w:t>
      </w:r>
    </w:p>
    <w:p w:rsidR="00000000" w:rsidDel="00000000" w:rsidRDefault="00000000" w14:paraId="00000018" w:rsidP="00000000" w:rsidRPr="00000000">
      <w:pPr>
        <w:jc w:val="left"/>
        <w:ind w:firstLine="720"/>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Every profession has a code of ethics that determines how an employee should act whenever faced with a dilemma. At times, personal beliefs or values may have an influence on what gets done in dealing with the occurrence of ethical dilemmas. This essay focuses on the separation of personal values or beliefs and ethics of practice.</w:t>
      </w:r>
    </w:p>
    <w:p w:rsidR="00000000" w:rsidDel="00000000" w:rsidRDefault="00000000" w14:paraId="00000019" w:rsidP="00000000" w:rsidRPr="00000000">
      <w:pPr>
        <w:jc w:val="left"/>
        <w:ind w:firstLine="720"/>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Quality of care is one of the targets of a nurse when dealing with patients within the work environment. According to Epstein and Turner (2015), adherence to the nursing code of ethics comes with various challenges. However, it is the code of ethics is the best tool for use in ensuring that specific aspects of quality care are well addressed. The code stipulates the relationships that should guide nursing practice including relationships with colleagues, the patients, and others within the healthcare domain. One of the requirements in alignment with the code is that a nurse should always tell the truth to a patient regarding the health condition and available treatment options (Epstein &amp; Turner, 2015). This is one of the aspects in which one’s personal belief may have an effect of the ethics of practice. For instance, a physician may report that a patient does not have long time to live and, therefore, the only treatment option is that of offering pain relievers. This belief would also become the nurse’s belief since the patient remains in his or her care. Under such circumstances, a nurse may decide that giving the pain relieving medications is of no effect in lengthening the patient’s lifetime. However, adhering to the physician’s prescriptions is an aspect of the ethics of practice while acting otherwise would be in alignment with personal beliefs. In this light, a nurse would be required not to consider the number of days remaining for the patient to live and instead focus on giving the most appropriate care. This entails a clear distinction of one’s values and ethics of practice. </w:t>
      </w:r>
    </w:p>
    <w:p w:rsidR="00000000" w:rsidDel="00000000" w:rsidRDefault="00000000" w14:paraId="0000001A" w:rsidP="00000000" w:rsidRPr="00000000">
      <w:pPr>
        <w:jc w:val="left"/>
        <w:ind w:firstLine="720"/>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According to Zaman et al (2017), the idea of end-of-life care carries different meanings to different people depending on cultural backgrounds. One’s personal values may stipulate that care is not necessary for an individual that will eventually die. The ethics of practice on the other hand will emphasize the dignity of an individual up to the last minute of his or her life. In this sense, I would take all the necessary precautions to offer appropriate care to a patient even when chances for him to live seems low. This might be against my personal belief or values which may be dependent on how I view the benefits of an individual who is about to die or whose death is foreseeable though some knowledge of the history of his or her health condition.</w:t>
      </w:r>
    </w:p>
    <w:p w:rsidR="00000000" w:rsidDel="00000000" w:rsidRDefault="00000000" w14:paraId="0000001B" w:rsidP="00000000" w:rsidRPr="00000000">
      <w:pPr>
        <w:jc w:val="left"/>
        <w:ind w:firstLine="720"/>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In conclusion, a distinction between personal values or beliefs and ethics of practice may be inferred from the requirement to offer quality care. This is particularly visible in the way a nurse approaches the way of life of an individual who is need of end-of-life care. Once a physician announces that a patient has few days to live and prescribes pain medications, there is a tendency for a nurse to do away with such prescriptions amidst the belief that the patient will eventually die. Ethical practice, however, demands that one respects the dignity of the patient up to the last minute and it is for such a reason that prescriptions are followed. It is also for the same reason that cultural differences carry no meaning in the nurse’s appropriation of palliative care.  </w:t>
      </w:r>
    </w:p>
    <w:p w:rsidR="00000000" w:rsidDel="00000000" w:rsidRDefault="00000000" w14:paraId="0000001C" w:rsidP="00000000" w:rsidRPr="00000000">
      <w:pPr>
        <w:jc w:val="left"/>
        <w:ind w:firstLine="720"/>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1D" w:rsidP="00000000" w:rsidRPr="00000000">
      <w:pPr>
        <w:jc w:val="left"/>
        <w:ind w:firstLine="720"/>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1E"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1F"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20"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21"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22"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center"/>
        <w:ind w:left="720"/>
        <w:ind w:right="0"/>
        <w:ind w:hanging="720"/>
        <w:spacing w:before="0" w:after="0" w:line="480" w:lineRule="auto"/>
        <w:rPr>
          <w:rFonts w:ascii="Times New Roman" w:cs="Times New Roman" w:eastAsia="Times New Roman" w:hAnsi="Times New Roman"/>
          <w:sz w:val="24"/>
          <w:szCs w:val="24"/>
        </w:rPr>
      </w:pPr>
      <w:r w:rsidR="00000000" w:rsidDel="00000000" w:rsidRPr="00000000">
        <w:rPr>
          <w:rtl w:val="0"/>
          <w:rFonts w:ascii="Times New Roman"/>
        </w:rPr>
        <w:t>Reference</w:t>
      </w:r>
      <w:r w:rsidR="00000000" w:rsidDel="00000000" w:rsidRPr="00000000">
        <w:rPr>
          <w:rtl w:val="0"/>
          <w:rFonts w:ascii="Times New Roman"/>
        </w:rPr>
      </w:r>
    </w:p>
    <w:p w:rsidR="00000000" w:rsidDel="00000000" w:rsidRDefault="00000000" w14:paraId="00000023" w:rsidP="00000000" w:rsidRPr="00000000">
      <w:pPr>
        <w:ind w:left="720"/>
        <w:ind w:hanging="720"/>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Epstein, B. &amp; Turner, M. (2015). The nursing code of ethics: Its value, its history. </w:t>
      </w:r>
      <w:r w:rsidR="00000000" w:rsidDel="00000000" w:rsidRPr="00000000">
        <w:rPr>
          <w:rtl w:val="0"/>
          <w:i/>
          <w:rFonts w:ascii="Times New Roman" w:cs="Times New Roman" w:eastAsia="Times New Roman" w:hAnsi="Times New Roman"/>
          <w:sz w:val="24"/>
          <w:szCs w:val="24"/>
        </w:rPr>
        <w:t>The Online Journal of Issues in Nursing, 20</w:t>
      </w:r>
      <w:r w:rsidR="00000000" w:rsidDel="00000000" w:rsidRPr="00000000">
        <w:rPr>
          <w:rtl w:val="0"/>
          <w:rFonts w:ascii="Times New Roman" w:cs="Times New Roman" w:eastAsia="Times New Roman" w:hAnsi="Times New Roman"/>
          <w:sz w:val="24"/>
          <w:szCs w:val="24"/>
        </w:rPr>
        <w:t>(2), 4. Doi: 10.3912/OJIN.Vol20No02Man04</w:t>
      </w:r>
    </w:p>
    <w:p w:rsidR="00000000" w:rsidDel="00000000" w:rsidRDefault="00000000" w14:paraId="00000024" w:rsidP="00000000" w:rsidRPr="00000000">
      <w:pPr>
        <w:ind w:left="720"/>
        <w:ind w:hanging="720"/>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Zaman, S., Inbadas, H., Whitelaw, A., &amp; Clark, D. (2017). Common or multiple futures for end of life care around the world? Ideas from the ‘waiting room of history.’</w:t>
      </w:r>
      <w:r w:rsidR="00000000" w:rsidDel="00000000" w:rsidRPr="00000000">
        <w:rPr>
          <w:rtl w:val="0"/>
          <w:i/>
          <w:rFonts w:ascii="Times New Roman" w:cs="Times New Roman" w:eastAsia="Times New Roman" w:hAnsi="Times New Roman"/>
          <w:sz w:val="24"/>
          <w:szCs w:val="24"/>
        </w:rPr>
        <w:t xml:space="preserve">Social Science and Medicine, 172, </w:t>
      </w:r>
      <w:r w:rsidR="00000000" w:rsidDel="00000000" w:rsidRPr="00000000">
        <w:rPr>
          <w:rtl w:val="0"/>
          <w:rFonts w:ascii="Times New Roman" w:cs="Times New Roman" w:eastAsia="Times New Roman" w:hAnsi="Times New Roman"/>
          <w:sz w:val="24"/>
          <w:szCs w:val="24"/>
        </w:rPr>
        <w:t xml:space="preserve">72-79. Doi: 10.1016/socscimed.2016.11.012   </w:t>
      </w:r>
    </w:p>
    <w:p w:rsidR="00000000" w:rsidDel="00000000" w:rsidRDefault="00000000" w14:paraId="00000025"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26" w:rsidP="00000000" w:rsidRPr="00000000">
      <w:pPr>
        <w:jc w:val="center"/>
        <w:ind w:firstLine="720"/>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27"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Fonts w:ascii="Times New Roman"/>
        </w:rPr>
      </w:r>
    </w:p>
    <w:p w:rsidR="00000000" w:rsidDel="00000000" w:rsidRDefault="00000000" w14:paraId="00000028" w:rsidP="00000000" w:rsidRPr="00000000">
      <w:pPr>
        <w:spacing w:line="480" w:lineRule="auto"/>
        <w:rPr>
          <w:rFonts w:ascii="Times New Roman" w:cs="Times New Roman" w:eastAsia="Times New Roman" w:hAnsi="Times New Roman"/>
          <w:sz w:val="24"/>
          <w:szCs w:val="24"/>
        </w:rPr>
      </w:pPr>
      <w:r w:rsidR="00000000" w:rsidDel="00000000" w:rsidRPr="00000000">
        <w:rPr>
          <w:rtl w:val="0"/>
        </w:rPr>
      </w:r>
    </w:p>
    <w:sectPr w:val="1">
      <w:headerReference r:id="rId6" w:type="default"/>
      <w:headerReference r:id="rId7" w:type="first"/>
      <w:footerReference r:id="rId8" w:type="first"/>
      <w:pgNumType w:start="1"/>
      <w:pgSz w:w="12240" w:h="15840"/>
      <w:pgMar w:left="1440" w:right="1440" w:top="1440" w:bottom="1440" w:header="720" w:footer="720"/>
      <w:titlePg/>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Times New Roman"/>
  <w:font w:name="Calibri"/>
  <w:font w:name="Cambria"/>
  <w:font w:name="Symbo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3</w:t>
      <w:tab/>
      <w:tab/>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DISCUSSION 3</w:t>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ind w:firstLine="720"/>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