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ind w:left="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Experience and Weekly Research Articles </w:t>
      </w:r>
    </w:p>
    <w:p w:rsidR="00000000" w:rsidDel="00000000" w:rsidP="00000000" w:rsidRDefault="00000000" w:rsidRPr="00000000" w14:paraId="0000000B">
      <w:pPr>
        <w:spacing w:line="480" w:lineRule="auto"/>
        <w:ind w:left="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p w:rsidR="00000000" w:rsidDel="00000000" w:rsidP="00000000" w:rsidRDefault="00000000" w:rsidRPr="00000000" w14:paraId="0000000C">
      <w:pPr>
        <w:spacing w:line="480" w:lineRule="auto"/>
        <w:ind w:left="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w:t>
      </w:r>
    </w:p>
    <w:p w:rsidR="00000000" w:rsidDel="00000000" w:rsidP="00000000" w:rsidRDefault="00000000" w:rsidRPr="00000000" w14:paraId="0000000D">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ind w:left="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Experience and Weekly Research Articles</w:t>
      </w:r>
    </w:p>
    <w:p w:rsidR="00000000" w:rsidDel="00000000" w:rsidP="00000000" w:rsidRDefault="00000000" w:rsidRPr="00000000" w14:paraId="00000018">
      <w:pPr>
        <w:spacing w:line="480" w:lineRule="auto"/>
        <w:ind w:left="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Google Scholar, EBSCOhost, and PubMed are among the search engines that have proved great efficiency in yielding scholarly research articles for my weekly engagement. One of the articles that I found to be quite informing is “Clinical management of dyslipidaemia associated with combination antiretroviral therapy in HIV-infected patients.” I found this article through Google Scholar using the search phrase “HIV and cholesterol.” The article is authored by Leonardo Calza, Vincenzo Colangeli, Roberto Manfredi, Isabella Bon, Maria Carla Re, and Pierluigi Viale and published in the </w:t>
      </w:r>
      <w:r w:rsidDel="00000000" w:rsidR="00000000" w:rsidRPr="00000000">
        <w:rPr>
          <w:rFonts w:ascii="Times New Roman" w:cs="Times New Roman" w:eastAsia="Times New Roman" w:hAnsi="Times New Roman"/>
          <w:i w:val="1"/>
          <w:sz w:val="24"/>
          <w:szCs w:val="24"/>
          <w:rtl w:val="0"/>
        </w:rPr>
        <w:t xml:space="preserve">Journal of Antimicrobial Chemotherapy.</w:t>
      </w:r>
    </w:p>
    <w:p w:rsidR="00000000" w:rsidDel="00000000" w:rsidP="00000000" w:rsidRDefault="00000000" w:rsidRPr="00000000" w14:paraId="00000019">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Calza et al. (2016) embark on combination antiretroviral therapy (cART) and its impact on HIV infections. cART emerges as a superior strategy that has reduced the mortality rates and enhanced life expectancy among patients with HIV. The strategy is, however, linked to various metabolic problems, among them dyslipidaemia which is associated with insulin resistance and lipodystrophy. Dyslipidaemia can also occur independently and this has implications that the metabolic complications could be linked to independent pathogens or Dyslipidaemia could be an early and sensitive sign for upcoming metabolic complications. </w:t>
      </w:r>
    </w:p>
    <w:p w:rsidR="00000000" w:rsidDel="00000000" w:rsidP="00000000" w:rsidRDefault="00000000" w:rsidRPr="00000000" w14:paraId="0000001A">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Cardiovascular and cerebrovascular conditions are linked to high mortality rates for the general population and are prominently manifested in people with HIV infections. Controlling dyslipidaemia comes in here because it is a major cause of cardiovascular conditions in the general population. While HIV patients receiving cART have a life expectancy similar to that of the general population, they are generally exposed to dyslipidaemia for longer durations. There are studies and clinical trials that reinforce the benefits of addressing hyperlipidaemia in HIV-negative individuals who are at high risk. This article proved to be useful as it depicts the connection between HIV and cholesterol levels while also offering a means through which to address the issue. cART emerges as a strategy of recommendation for HIV patients, particularly those who wish to address cholesterol problems that could yield metabolic difficulties and death.</w:t>
      </w:r>
    </w:p>
    <w:p w:rsidR="00000000" w:rsidDel="00000000" w:rsidP="00000000" w:rsidRDefault="00000000" w:rsidRPr="00000000" w14:paraId="0000001B">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article that proved unhelpful is one with the title HIV gp41-mediated membrane fusion occurs at edges of cholesterol-rich lipid domains.” This article uses a lot of jargon and it is hard for a general audience to understand its content. This has implications that it cannot be used by a first-time student in the nursing or any other medical field to understand the relationship between HIV and cholesterol. The authors’ use of jargon is not only within the text but also in the title. IT would be hard to tell the meaning of gp41-membrane and one is forced to engage in another kind of research to understand the meaning. Yang et al. (2015) would, therefore, need to review the research article and use a language that can be understood by a general audience, including first-time students in the medical field. The article is available in Google Scholar and PubMed but may only be of preference to individuals with superior knowledge in the medical field.     </w:t>
      </w:r>
    </w:p>
    <w:p w:rsidR="00000000" w:rsidDel="00000000" w:rsidP="00000000" w:rsidRDefault="00000000" w:rsidRPr="00000000" w14:paraId="0000001C">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the experience of conducting research to identify written research articles for use in any given article is interesting, particularly when one is aware of the search engines and databases that can give reliable results. Google Scholar, PubMed, and EBSCOhost have been quite helpful in offering articles for use in my topics. I have managed to read several articles in alignment with the topic “HIV and cholesterol” but the two highlighted herein attracted my attention. </w:t>
      </w:r>
    </w:p>
    <w:p w:rsidR="00000000" w:rsidDel="00000000" w:rsidP="00000000" w:rsidRDefault="00000000" w:rsidRPr="00000000" w14:paraId="0000001D">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480" w:lineRule="auto"/>
        <w:ind w:left="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2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Calza, L., Colangeli, V., Manfredi, R., Bon, I., Re, M. C., &amp; Viale, P. (2016). Clinical management of dyslipidaemia associated with combination antiretroviral therapy in HIV-infected patients. </w:t>
      </w:r>
      <w:r w:rsidDel="00000000" w:rsidR="00000000" w:rsidRPr="00000000">
        <w:rPr>
          <w:rFonts w:ascii="Times New Roman" w:cs="Times New Roman" w:eastAsia="Times New Roman" w:hAnsi="Times New Roman"/>
          <w:i w:val="1"/>
          <w:sz w:val="24"/>
          <w:szCs w:val="24"/>
          <w:rtl w:val="0"/>
        </w:rPr>
        <w:t xml:space="preserve">Journal of Antimicrobial Chemotherapy, 71</w:t>
      </w:r>
      <w:r w:rsidDel="00000000" w:rsidR="00000000" w:rsidRPr="00000000">
        <w:rPr>
          <w:rFonts w:ascii="Times New Roman" w:cs="Times New Roman" w:eastAsia="Times New Roman" w:hAnsi="Times New Roman"/>
          <w:sz w:val="24"/>
          <w:szCs w:val="24"/>
          <w:rtl w:val="0"/>
        </w:rPr>
        <w:t xml:space="preserve">(6)., 1451-1465. Doi: 10.1093/jac/dkv494</w:t>
      </w:r>
    </w:p>
    <w:p w:rsidR="00000000" w:rsidDel="00000000" w:rsidP="00000000" w:rsidRDefault="00000000" w:rsidRPr="00000000" w14:paraId="0000002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Yang, S-T., Kiessling, V., Simmons, J. A., White, J. M., &amp; Tam, L. K. (2015). HIV gp41-mediated membrane fusion occurs at edges of cholesterol -rich lipid domains. </w:t>
      </w:r>
      <w:r w:rsidDel="00000000" w:rsidR="00000000" w:rsidRPr="00000000">
        <w:rPr>
          <w:rFonts w:ascii="Times New Roman" w:cs="Times New Roman" w:eastAsia="Times New Roman" w:hAnsi="Times New Roman"/>
          <w:i w:val="1"/>
          <w:sz w:val="24"/>
          <w:szCs w:val="24"/>
          <w:rtl w:val="0"/>
        </w:rPr>
        <w:t xml:space="preserve">Nature Chemical Biology, 11, </w:t>
      </w:r>
      <w:r w:rsidDel="00000000" w:rsidR="00000000" w:rsidRPr="00000000">
        <w:rPr>
          <w:rFonts w:ascii="Times New Roman" w:cs="Times New Roman" w:eastAsia="Times New Roman" w:hAnsi="Times New Roman"/>
          <w:sz w:val="24"/>
          <w:szCs w:val="24"/>
          <w:rtl w:val="0"/>
        </w:rPr>
        <w:t xml:space="preserve">424-431.  </w:t>
      </w:r>
    </w:p>
    <w:p w:rsidR="00000000" w:rsidDel="00000000" w:rsidP="00000000" w:rsidRDefault="00000000" w:rsidRPr="00000000" w14:paraId="00000024">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480" w:lineRule="auto"/>
        <w:ind w:left="0" w:firstLine="720"/>
        <w:rPr>
          <w:rFonts w:ascii="Times New Roman" w:cs="Times New Roman" w:eastAsia="Times New Roman" w:hAnsi="Times New Roman"/>
          <w:sz w:val="24"/>
          <w:szCs w:val="24"/>
        </w:rPr>
      </w:pPr>
      <w:r w:rsidDel="00000000" w:rsidR="00000000" w:rsidRPr="00000000">
        <w:rPr>
          <w:rtl w:val="0"/>
        </w:rPr>
      </w:r>
    </w:p>
    <w:sectPr>
      <w:headerReference r:id="rId6" w:type="default"/>
      <w:headerReference r:id="rId7" w:type="first"/>
      <w:footerReference r:id="rId8"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EXPERIENCE AND WEEKLY RESEARCH ARTICLES</w:t>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Running head: EXPERIENCE AND WEEKLY RESEARCH ARTICLES</w:t>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