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Importance of Community to Children and Young People</w:t>
      </w:r>
    </w:p>
    <w:p w:rsidR="00000000" w:rsidDel="00000000" w:rsidP="00000000" w:rsidRDefault="00000000" w:rsidRPr="00000000" w14:paraId="00000001">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A">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Instructor:</w:t>
      </w:r>
    </w:p>
    <w:p w:rsidR="00000000" w:rsidDel="00000000" w:rsidP="00000000" w:rsidRDefault="00000000" w:rsidRPr="00000000" w14:paraId="0000000B">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w:t>
      </w:r>
    </w:p>
    <w:p w:rsidR="00000000" w:rsidDel="00000000" w:rsidP="00000000" w:rsidRDefault="00000000" w:rsidRPr="00000000" w14:paraId="0000000C">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D">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p w:rsidR="00000000" w:rsidDel="00000000" w:rsidP="00000000" w:rsidRDefault="00000000" w:rsidRPr="00000000" w14:paraId="0000000E">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a: Why is community important to children and young people?</w:t>
      </w:r>
    </w:p>
    <w:p w:rsidR="00000000" w:rsidDel="00000000" w:rsidP="00000000" w:rsidRDefault="00000000" w:rsidRPr="00000000" w14:paraId="0000001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community stands as one of the sources for moral support for children and young people. According to Bessell (2017) community is a major ingredient of social connectedness as this is where one meets with people of various kinds and with various means of interactions. For children, the community is valuable as it provides social support beyond the realm of the family. It is the place where one meets with peers who have different values and interests and with who one interacts to gain knowledge about the social life. It further emerges that the social networks within the community enable an individual to develop a sense of trustworthiness, reciprocity, and mutual assistance (Bessell, 2017; Allan, Catts and Stelfox, 2012). In this sense, adults have a way of interacting with children and which yields various interpretations. An example is given where some drivers are perceived by children as ruthless. There are other individuals who are perceived as friendly and kind-hearted and this moulds a children’s behavior in interacting with various people within the community settings. </w:t>
      </w:r>
    </w:p>
    <w:p w:rsidR="00000000" w:rsidDel="00000000" w:rsidP="00000000" w:rsidRDefault="00000000" w:rsidRPr="00000000" w14:paraId="0000001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Bronfenbrenner’s socio-ecological model divides the community into four systems which include micro-, meso-, exo-, and macrosystem (</w:t>
      </w:r>
      <w:r w:rsidDel="00000000" w:rsidR="00000000" w:rsidRPr="00000000">
        <w:rPr>
          <w:rFonts w:ascii="Times New Roman" w:cs="Times New Roman" w:eastAsia="Times New Roman" w:hAnsi="Times New Roman"/>
          <w:i w:val="1"/>
          <w:sz w:val="24"/>
          <w:szCs w:val="24"/>
          <w:rtl w:val="0"/>
        </w:rPr>
        <w:t xml:space="preserve">Community, society and well-being, </w:t>
      </w:r>
      <w:r w:rsidDel="00000000" w:rsidR="00000000" w:rsidRPr="00000000">
        <w:rPr>
          <w:rFonts w:ascii="Times New Roman" w:cs="Times New Roman" w:eastAsia="Times New Roman" w:hAnsi="Times New Roman"/>
          <w:sz w:val="24"/>
          <w:szCs w:val="24"/>
          <w:rtl w:val="0"/>
        </w:rPr>
        <w:t xml:space="preserve">n.d.</w:t>
      </w:r>
      <w:r w:rsidDel="00000000" w:rsidR="00000000" w:rsidRPr="00000000">
        <w:rPr>
          <w:rFonts w:ascii="Times New Roman" w:cs="Times New Roman" w:eastAsia="Times New Roman" w:hAnsi="Times New Roman"/>
          <w:sz w:val="24"/>
          <w:szCs w:val="24"/>
          <w:rtl w:val="0"/>
        </w:rPr>
        <w:t xml:space="preserve">). Starting from the level of an individual, the microsystem comprises of family, peers, church, school, healthcare facilities and their role in shaping an individual. The mesosystem emphasizes the accessibility of relationships with the systems within the micro domain. The exosystem integrates wider social networks founded on industrial commitment, social services, mass media, and politics. Within this social network is the role of young individuals who have undergone the education system and, therefore, qualified for professional engagements. These individuals act as mentors and facilitators of the children’s engagements in alignment with the values they present publicly. The macrosystem comprises of the values and attitudes created within a child or individual through the interactions involved within the other systems stated herein. As such, the community in general shapes the cultural beliefs and attitudes of a child in alignment with day to day experiences (</w:t>
      </w:r>
      <w:r w:rsidDel="00000000" w:rsidR="00000000" w:rsidRPr="00000000">
        <w:rPr>
          <w:rFonts w:ascii="Times New Roman" w:cs="Times New Roman" w:eastAsia="Times New Roman" w:hAnsi="Times New Roman"/>
          <w:i w:val="1"/>
          <w:sz w:val="24"/>
          <w:szCs w:val="24"/>
          <w:rtl w:val="0"/>
        </w:rPr>
        <w:t xml:space="preserve">Community, society and well-being, </w:t>
      </w:r>
      <w:r w:rsidDel="00000000" w:rsidR="00000000" w:rsidRPr="00000000">
        <w:rPr>
          <w:rFonts w:ascii="Times New Roman" w:cs="Times New Roman" w:eastAsia="Times New Roman" w:hAnsi="Times New Roman"/>
          <w:sz w:val="24"/>
          <w:szCs w:val="24"/>
          <w:rtl w:val="0"/>
        </w:rPr>
        <w:t xml:space="preserve">n.d.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Bronfenbrenner argues that the development of an individual is founded on the mutual relationships experienced within the community and this starts with the innate attributes of a child, including genetic and biological elements. The support or stress accorded a child by primary caregivers and the family in general is also a determinant of the child’s development (</w:t>
      </w:r>
      <w:r w:rsidDel="00000000" w:rsidR="00000000" w:rsidRPr="00000000">
        <w:rPr>
          <w:rFonts w:ascii="Times New Roman" w:cs="Times New Roman" w:eastAsia="Times New Roman" w:hAnsi="Times New Roman"/>
          <w:i w:val="1"/>
          <w:sz w:val="24"/>
          <w:szCs w:val="24"/>
          <w:rtl w:val="0"/>
        </w:rPr>
        <w:t xml:space="preserve">Community, society and well-being, </w:t>
      </w:r>
      <w:r w:rsidDel="00000000" w:rsidR="00000000" w:rsidRPr="00000000">
        <w:rPr>
          <w:rFonts w:ascii="Times New Roman" w:cs="Times New Roman" w:eastAsia="Times New Roman" w:hAnsi="Times New Roman"/>
          <w:sz w:val="24"/>
          <w:szCs w:val="24"/>
          <w:rtl w:val="0"/>
        </w:rPr>
        <w:t xml:space="preserve">n.d.</w:t>
      </w:r>
      <w:r w:rsidDel="00000000" w:rsidR="00000000" w:rsidRPr="00000000">
        <w:rPr>
          <w:rFonts w:ascii="Times New Roman" w:cs="Times New Roman" w:eastAsia="Times New Roman" w:hAnsi="Times New Roman"/>
          <w:sz w:val="24"/>
          <w:szCs w:val="24"/>
          <w:rtl w:val="0"/>
        </w:rPr>
        <w:t xml:space="preserve">). This development is further enhanced directly by experiences in schools and indirectly by the relationships established within the community or neighbourhood. At the level of the society, cultural beliefs, norms, and expectations also support or strain the child’s development and are, therefore, worth consideration.     </w:t>
      </w:r>
    </w:p>
    <w:p w:rsidR="00000000" w:rsidDel="00000000" w:rsidP="00000000" w:rsidRDefault="00000000" w:rsidRPr="00000000" w14:paraId="0000001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greatest value of the community for a child is placed in the provision of social amenities, such as playgrounds, schools, and social connections. Bessell (2017) posits that the recognition of the community’s role at an early stage is critical to enabling the accomplishment of a child in school and the entire life. School accomplishments in alignment with the community support is also an idea upheld by Allan et al. (2012). The level of accomplishment, however, is affected by the social economic status (SES) of the individuals involved. According to Vyncke et al (2013), the neighbourhoods of a child’s upbringing determines the availability and quality of resources needed for the accomplishment of a child in life endeavors, including education and health. For children who are raised in wealthy neighbourhoods, there is an abundance of resources which are also of higher quality than in poor localities (Vyncke, et al., 2013). Children in such neighbourhoods, therefore tend to be healthier and attain attractive educational results than their peers in poor communities. The value of a community in this sense is founded on the ambitions of the residents in making the community productive and efficient in the provision of resources required by children and young people in their life commitments that are determinate of their future well-being. </w:t>
      </w:r>
    </w:p>
    <w:p w:rsidR="00000000" w:rsidDel="00000000" w:rsidP="00000000" w:rsidRDefault="00000000" w:rsidRPr="00000000" w14:paraId="0000001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community is also perceived as a source of refuge for individuals who face difficulties in life. Rustin (2017) reporting for </w:t>
      </w:r>
      <w:r w:rsidDel="00000000" w:rsidR="00000000" w:rsidRPr="00000000">
        <w:rPr>
          <w:rFonts w:ascii="Times New Roman" w:cs="Times New Roman" w:eastAsia="Times New Roman" w:hAnsi="Times New Roman"/>
          <w:i w:val="1"/>
          <w:sz w:val="24"/>
          <w:szCs w:val="24"/>
          <w:rtl w:val="0"/>
        </w:rPr>
        <w:t xml:space="preserve">The Guardian, </w:t>
      </w:r>
      <w:r w:rsidDel="00000000" w:rsidR="00000000" w:rsidRPr="00000000">
        <w:rPr>
          <w:rFonts w:ascii="Times New Roman" w:cs="Times New Roman" w:eastAsia="Times New Roman" w:hAnsi="Times New Roman"/>
          <w:sz w:val="24"/>
          <w:szCs w:val="24"/>
          <w:rtl w:val="0"/>
        </w:rPr>
        <w:t xml:space="preserve">presents the story of the Grenfell Tower Fire in which there were fatalities and injuries. This occurrence necessitated the intervention of individuals within the affected community to support those who lost their loved ones and experienced other kinds of losses. The community is presented as a failure in this case as authorities never acted on time as hundreds of individuals never had their houses replaced six months later. One of the headteachers is, however, presented as being quite supportive as he offered to purchase uniform and offer basic necessities for young survivors of the tragedy. The implication is that it is within the community that well-wishers emerge to assist in a situation where local authorities have no means.</w:t>
      </w:r>
    </w:p>
    <w:p w:rsidR="00000000" w:rsidDel="00000000" w:rsidP="00000000" w:rsidRDefault="00000000" w:rsidRPr="00000000" w14:paraId="0000001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 b. What skills and values are important for practitioners as they work together to support children and young people?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Empathy emerges as one of the most important skill of practitioners involved in supporting children and young people. Gibbs (n.d.) upholds this skill is the main one in enabling a practitioner to undertake his or her work effectively. According to Sehgal (2017) people tend to sympathize rather than empathize with those in need. With sympathy, one depicts a situation of pitying the individual but at times there is no help offered. Some sympathizers will ask the kind of help desired by an individual and this makes it difficult for the individual to specify what he or she needs. Empathy requires one to assume the role of the individual in need of help so as to judge the kind of help required rather than enquiring from the individual. When it comes to dealing with children and young people, a practitioner should be aware of the needs of such groups and do something to ensure that their dreams are actualized. </w:t>
      </w:r>
    </w:p>
    <w:p w:rsidR="00000000" w:rsidDel="00000000" w:rsidP="00000000" w:rsidRDefault="00000000" w:rsidRPr="00000000" w14:paraId="0000001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Listening is one of the attributes of empathy and which exposes one to the needs of the individuals of concern. When individuals find a person who is willing to listen to their concerns, they are highly likely to open up and explain their problems (Gibbs, n.d.). This requires a practitioner to be kind-hearted and depict a willingness to fit into the situation of the individuals seeking help. Children are quite keen in detecting an individual who is worth their attention. Where a practitioner is not willing to listen, this becomes a barrier to addressing the needs of children and young people as they are likely to keep the problems to themselves with hopes to find solutions elsewhere.</w:t>
      </w:r>
    </w:p>
    <w:p w:rsidR="00000000" w:rsidDel="00000000" w:rsidP="00000000" w:rsidRDefault="00000000" w:rsidRPr="00000000" w14:paraId="0000001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Self-drive is another skill required for professionals involved in supporting children and young people. This skill is informed by sensitivity to various occurrences that are visible through the child’s behavior or social interactions. Taking the example of Daniel Pelka, whose parents were found guilty of murder, there are individuals who had experienced some instances that demanded action but never made effort to seek adequate information that could have helped to save the boy. Lock (2013) argues that there was need for the practitioners to see the child then listen and hear what he had to say regarding his experiences back home. Instead, practitioners only listened to the mother and acted to save other children from the harm caused by Daniel Pelka by eating their food. It then emerged that Daniel Pelka was eating other children’s food because he was deprived of meals by the parents. The school could have saved Pelka by listening to him and getting an accurate answer to why he was eating other children’s food rather than relying on falseful information from the mother. </w:t>
      </w:r>
    </w:p>
    <w:p w:rsidR="00000000" w:rsidDel="00000000" w:rsidP="00000000" w:rsidRDefault="00000000" w:rsidRPr="00000000" w14:paraId="0000002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skill that is rare and emphasized in Pelka’s case is that of thinking the unthinkable (Lock, 2013). It is recommended that practitioners who deal with children should create a room for the consideration of almost everything that could happen to a child irrespective who the caretaker could be. While there were signs and symptoms of abuse in Pelka’s case and which were observed by teachers and other practitioners, no one ever thought that the signs could emanate from maltreatment from parents. In this case, a practitioner with a skill of thinking the unthinkable could have had a clue that the injuries observed with Pelka from time to time could signal domestic abuse from the parents who made up every kind of story to conceal their misconduct. It was only after Pelka’s death that the unthinkable was revealed. There were, however, deficiencies with the practitioners involved as none of them ever thought that the mother could be lying.  </w:t>
      </w:r>
    </w:p>
    <w:p w:rsidR="00000000" w:rsidDel="00000000" w:rsidP="00000000" w:rsidRDefault="00000000" w:rsidRPr="00000000" w14:paraId="0000002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Pelka reportedly died of a head injury that was an outcome of domestic abuse he suffered in the hands of the parents. Although teachers and other professionals had detected some signs of such abuse, no one reached out to know what was going on. The idea of power struggle, as highlighted by Payler and Georgeson (2013) emerges with the family being at the core of the decisions made to help Pelka. The mother also acted as a barrier to the knowledge required for appropriate intervention by practitioners. Only a competent practitioner could guess the problems of Pelka. </w:t>
      </w:r>
    </w:p>
    <w:p w:rsidR="00000000" w:rsidDel="00000000" w:rsidP="00000000" w:rsidRDefault="00000000" w:rsidRPr="00000000" w14:paraId="0000002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Gibbs (n.d.) identifies the voluntary nature of services offered by practitioners who deal with issues of children and young people. In this sense, the practitioners involved must establish trust with children and young people, as a value, so that such individuals approach them voluntarily to speak up their problems for the realization of appropriate interventions. Respect for families, however, is also a major value for practitioners and which in Pelka’s case was highly visible with practitioners trusting the information from the parents. This happened at the expense of Pelka’s safety as practitioners never reached a point of suspecting that Pelka’s parents were the source of their child’s woes (Lock, 2013).  </w:t>
      </w:r>
    </w:p>
    <w:p w:rsidR="00000000" w:rsidDel="00000000" w:rsidP="00000000" w:rsidRDefault="00000000" w:rsidRPr="00000000" w14:paraId="00000023">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Bibliography</w:t>
      </w:r>
    </w:p>
    <w:p w:rsidR="00000000" w:rsidDel="00000000" w:rsidP="00000000" w:rsidRDefault="00000000" w:rsidRPr="00000000" w14:paraId="0000003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Allans, J., Catts, R. and Stelfox, A. (2012). ‘Introduction.’ In Allans, J., Catts, R. and Stelfox, A. (eds) </w:t>
      </w:r>
      <w:r w:rsidDel="00000000" w:rsidR="00000000" w:rsidRPr="00000000">
        <w:rPr>
          <w:rFonts w:ascii="Times New Roman" w:cs="Times New Roman" w:eastAsia="Times New Roman" w:hAnsi="Times New Roman"/>
          <w:i w:val="1"/>
          <w:sz w:val="24"/>
          <w:szCs w:val="24"/>
          <w:rtl w:val="0"/>
        </w:rPr>
        <w:t xml:space="preserve">Social Capital, Children and Young People: Implications for Practice, Policy and Research. </w:t>
      </w:r>
      <w:r w:rsidDel="00000000" w:rsidR="00000000" w:rsidRPr="00000000">
        <w:rPr>
          <w:rFonts w:ascii="Times New Roman" w:cs="Times New Roman" w:eastAsia="Times New Roman" w:hAnsi="Times New Roman"/>
          <w:sz w:val="24"/>
          <w:szCs w:val="24"/>
          <w:rtl w:val="0"/>
        </w:rPr>
        <w:t xml:space="preserve">Bristol, Policy Press. </w:t>
      </w:r>
    </w:p>
    <w:p w:rsidR="00000000" w:rsidDel="00000000" w:rsidP="00000000" w:rsidRDefault="00000000" w:rsidRPr="00000000" w14:paraId="0000003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Bessell, S. (2017). ‘The role of intergenerational relationships in children’s experiences of community.’ </w:t>
      </w:r>
      <w:r w:rsidDel="00000000" w:rsidR="00000000" w:rsidRPr="00000000">
        <w:rPr>
          <w:rFonts w:ascii="Times New Roman" w:cs="Times New Roman" w:eastAsia="Times New Roman" w:hAnsi="Times New Roman"/>
          <w:i w:val="1"/>
          <w:sz w:val="24"/>
          <w:szCs w:val="24"/>
          <w:rtl w:val="0"/>
        </w:rPr>
        <w:t xml:space="preserve">Children &amp; Society, </w:t>
      </w:r>
      <w:r w:rsidDel="00000000" w:rsidR="00000000" w:rsidRPr="00000000">
        <w:rPr>
          <w:rFonts w:ascii="Times New Roman" w:cs="Times New Roman" w:eastAsia="Times New Roman" w:hAnsi="Times New Roman"/>
          <w:sz w:val="24"/>
          <w:szCs w:val="24"/>
          <w:rtl w:val="0"/>
        </w:rPr>
        <w:t xml:space="preserve">31, 263-75. </w:t>
      </w:r>
    </w:p>
    <w:p w:rsidR="00000000" w:rsidDel="00000000" w:rsidP="00000000" w:rsidRDefault="00000000" w:rsidRPr="00000000" w14:paraId="00000037">
      <w:pPr>
        <w:spacing w:line="480" w:lineRule="auto"/>
        <w:ind w:left="720" w:hanging="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Gibbs, Gavin (no date) </w:t>
      </w:r>
      <w:r w:rsidDel="00000000" w:rsidR="00000000" w:rsidRPr="00000000">
        <w:rPr>
          <w:rFonts w:ascii="Times New Roman" w:cs="Times New Roman" w:eastAsia="Times New Roman" w:hAnsi="Times New Roman"/>
          <w:i w:val="1"/>
          <w:sz w:val="24"/>
          <w:szCs w:val="24"/>
          <w:rtl w:val="0"/>
        </w:rPr>
        <w:t xml:space="preserve">Transcript.</w:t>
      </w:r>
    </w:p>
    <w:p w:rsidR="00000000" w:rsidDel="00000000" w:rsidP="00000000" w:rsidRDefault="00000000" w:rsidRPr="00000000" w14:paraId="0000003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 R. (2013). </w:t>
      </w:r>
      <w:r w:rsidDel="00000000" w:rsidR="00000000" w:rsidRPr="00000000">
        <w:rPr>
          <w:rFonts w:ascii="Times New Roman" w:cs="Times New Roman" w:eastAsia="Times New Roman" w:hAnsi="Times New Roman"/>
          <w:i w:val="1"/>
          <w:sz w:val="24"/>
          <w:szCs w:val="24"/>
          <w:rtl w:val="0"/>
        </w:rPr>
        <w:t xml:space="preserve">Serious case review: Re Daniel Pelka. </w:t>
      </w:r>
      <w:r w:rsidDel="00000000" w:rsidR="00000000" w:rsidRPr="00000000">
        <w:rPr>
          <w:rFonts w:ascii="Times New Roman" w:cs="Times New Roman" w:eastAsia="Times New Roman" w:hAnsi="Times New Roman"/>
          <w:sz w:val="24"/>
          <w:szCs w:val="24"/>
          <w:rtl w:val="0"/>
        </w:rPr>
        <w:t xml:space="preserve">Available from </w:t>
      </w:r>
      <w:hyperlink r:id="rId6">
        <w:r w:rsidDel="00000000" w:rsidR="00000000" w:rsidRPr="00000000">
          <w:rPr>
            <w:rFonts w:ascii="Times New Roman" w:cs="Times New Roman" w:eastAsia="Times New Roman" w:hAnsi="Times New Roman"/>
            <w:color w:val="1155cc"/>
            <w:sz w:val="24"/>
            <w:szCs w:val="24"/>
            <w:u w:val="single"/>
            <w:rtl w:val="0"/>
          </w:rPr>
          <w:t xml:space="preserve">https://cscb-new.co.uk/downloads/Serious%20Case%20Reviews%20-%20exec.%20summaries/SCR_Archive/Coventry%20SCR%20-%20Daniel%20Pelka%20(2013).pdf</w:t>
        </w:r>
      </w:hyperlink>
      <w:r w:rsidDel="00000000" w:rsidR="00000000" w:rsidRPr="00000000">
        <w:rPr>
          <w:rFonts w:ascii="Times New Roman" w:cs="Times New Roman" w:eastAsia="Times New Roman" w:hAnsi="Times New Roman"/>
          <w:sz w:val="24"/>
          <w:szCs w:val="24"/>
          <w:rtl w:val="0"/>
        </w:rPr>
        <w:t xml:space="preserve">  [Accessed 27 Dec 2018].</w:t>
      </w:r>
    </w:p>
    <w:p w:rsidR="00000000" w:rsidDel="00000000" w:rsidP="00000000" w:rsidRDefault="00000000" w:rsidRPr="00000000" w14:paraId="0000003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Payler, J. and Georgeson, J. (2013) Multiagency working in the early years: confidence, competence and context.’ </w:t>
      </w:r>
      <w:r w:rsidDel="00000000" w:rsidR="00000000" w:rsidRPr="00000000">
        <w:rPr>
          <w:rFonts w:ascii="Times New Roman" w:cs="Times New Roman" w:eastAsia="Times New Roman" w:hAnsi="Times New Roman"/>
          <w:i w:val="1"/>
          <w:sz w:val="24"/>
          <w:szCs w:val="24"/>
          <w:rtl w:val="0"/>
        </w:rPr>
        <w:t xml:space="preserve">Early Years, </w:t>
      </w:r>
      <w:r w:rsidDel="00000000" w:rsidR="00000000" w:rsidRPr="00000000">
        <w:rPr>
          <w:rFonts w:ascii="Times New Roman" w:cs="Times New Roman" w:eastAsia="Times New Roman" w:hAnsi="Times New Roman"/>
          <w:sz w:val="24"/>
          <w:szCs w:val="24"/>
          <w:rtl w:val="0"/>
        </w:rPr>
        <w:t xml:space="preserve">33(4), 380-97.</w:t>
      </w:r>
    </w:p>
    <w:p w:rsidR="00000000" w:rsidDel="00000000" w:rsidP="00000000" w:rsidRDefault="00000000" w:rsidRPr="00000000" w14:paraId="0000003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Rustin, S. (2017) We tried to cope hour by hour: the schools in shadow of Grenfell Tower. </w:t>
      </w:r>
      <w:r w:rsidDel="00000000" w:rsidR="00000000" w:rsidRPr="00000000">
        <w:rPr>
          <w:rFonts w:ascii="Times New Roman" w:cs="Times New Roman" w:eastAsia="Times New Roman" w:hAnsi="Times New Roman"/>
          <w:i w:val="1"/>
          <w:sz w:val="24"/>
          <w:szCs w:val="24"/>
          <w:rtl w:val="0"/>
        </w:rPr>
        <w:t xml:space="preserve">The Guardian, </w:t>
      </w:r>
      <w:r w:rsidDel="00000000" w:rsidR="00000000" w:rsidRPr="00000000">
        <w:rPr>
          <w:rFonts w:ascii="Times New Roman" w:cs="Times New Roman" w:eastAsia="Times New Roman" w:hAnsi="Times New Roman"/>
          <w:sz w:val="24"/>
          <w:szCs w:val="24"/>
          <w:rtl w:val="0"/>
        </w:rPr>
        <w:t xml:space="preserve">November 27. Available from </w:t>
      </w:r>
      <w:hyperlink r:id="rId7">
        <w:r w:rsidDel="00000000" w:rsidR="00000000" w:rsidRPr="00000000">
          <w:rPr>
            <w:rFonts w:ascii="Times New Roman" w:cs="Times New Roman" w:eastAsia="Times New Roman" w:hAnsi="Times New Roman"/>
            <w:color w:val="1155cc"/>
            <w:sz w:val="24"/>
            <w:szCs w:val="24"/>
            <w:u w:val="single"/>
            <w:rtl w:val="0"/>
          </w:rPr>
          <w:t xml:space="preserve">https://www.theguardian.com/education/2017/nov/27/grenfell-children-art-schools-tower</w:t>
        </w:r>
      </w:hyperlink>
      <w:r w:rsidDel="00000000" w:rsidR="00000000" w:rsidRPr="00000000">
        <w:rPr>
          <w:rFonts w:ascii="Times New Roman" w:cs="Times New Roman" w:eastAsia="Times New Roman" w:hAnsi="Times New Roman"/>
          <w:sz w:val="24"/>
          <w:szCs w:val="24"/>
          <w:rtl w:val="0"/>
        </w:rPr>
        <w:t xml:space="preserve">  [Accessed 27 Dec 2018]. </w:t>
      </w:r>
    </w:p>
    <w:p w:rsidR="00000000" w:rsidDel="00000000" w:rsidP="00000000" w:rsidRDefault="00000000" w:rsidRPr="00000000" w14:paraId="0000003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Sehgal, S. (2017). Empathy and community service. </w:t>
      </w:r>
      <w:r w:rsidDel="00000000" w:rsidR="00000000" w:rsidRPr="00000000">
        <w:rPr>
          <w:rFonts w:ascii="Times New Roman" w:cs="Times New Roman" w:eastAsia="Times New Roman" w:hAnsi="Times New Roman"/>
          <w:i w:val="1"/>
          <w:sz w:val="24"/>
          <w:szCs w:val="24"/>
          <w:rtl w:val="0"/>
        </w:rPr>
        <w:t xml:space="preserve">Huffington Post, </w:t>
      </w:r>
      <w:r w:rsidDel="00000000" w:rsidR="00000000" w:rsidRPr="00000000">
        <w:rPr>
          <w:rFonts w:ascii="Times New Roman" w:cs="Times New Roman" w:eastAsia="Times New Roman" w:hAnsi="Times New Roman"/>
          <w:sz w:val="24"/>
          <w:szCs w:val="24"/>
          <w:rtl w:val="0"/>
        </w:rPr>
        <w:t xml:space="preserve">September 6. Available from </w:t>
      </w:r>
      <w:hyperlink r:id="rId8">
        <w:r w:rsidDel="00000000" w:rsidR="00000000" w:rsidRPr="00000000">
          <w:rPr>
            <w:rFonts w:ascii="Times New Roman" w:cs="Times New Roman" w:eastAsia="Times New Roman" w:hAnsi="Times New Roman"/>
            <w:color w:val="1155cc"/>
            <w:sz w:val="24"/>
            <w:szCs w:val="24"/>
            <w:u w:val="single"/>
            <w:rtl w:val="0"/>
          </w:rPr>
          <w:t xml:space="preserve">https://www.huffingtonpost.com/entry/empathy-and-community-service_us_593b63f3e4b094fa859f1881</w:t>
        </w:r>
      </w:hyperlink>
      <w:r w:rsidDel="00000000" w:rsidR="00000000" w:rsidRPr="00000000">
        <w:rPr>
          <w:rFonts w:ascii="Times New Roman" w:cs="Times New Roman" w:eastAsia="Times New Roman" w:hAnsi="Times New Roman"/>
          <w:sz w:val="24"/>
          <w:szCs w:val="24"/>
          <w:rtl w:val="0"/>
        </w:rPr>
        <w:t xml:space="preserve">  [Accessed 27 Dec 2018].</w:t>
      </w:r>
    </w:p>
    <w:p w:rsidR="00000000" w:rsidDel="00000000" w:rsidP="00000000" w:rsidRDefault="00000000" w:rsidRPr="00000000" w14:paraId="0000003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Vyncke, V. et al. (2013) Does neighbourhood social capital aid in levelling the social gradient in the health and well-being of children and adolescents? A literature review. </w:t>
      </w:r>
      <w:r w:rsidDel="00000000" w:rsidR="00000000" w:rsidRPr="00000000">
        <w:rPr>
          <w:rFonts w:ascii="Times New Roman" w:cs="Times New Roman" w:eastAsia="Times New Roman" w:hAnsi="Times New Roman"/>
          <w:i w:val="1"/>
          <w:sz w:val="24"/>
          <w:szCs w:val="24"/>
          <w:rtl w:val="0"/>
        </w:rPr>
        <w:t xml:space="preserve">BMC Public Health, </w:t>
      </w:r>
      <w:r w:rsidDel="00000000" w:rsidR="00000000" w:rsidRPr="00000000">
        <w:rPr>
          <w:rFonts w:ascii="Times New Roman" w:cs="Times New Roman" w:eastAsia="Times New Roman" w:hAnsi="Times New Roman"/>
          <w:sz w:val="24"/>
          <w:szCs w:val="24"/>
          <w:rtl w:val="0"/>
        </w:rPr>
        <w:t xml:space="preserve">13(65). Doi: 10.1186//1471-2458-13-65.   </w:t>
      </w:r>
    </w:p>
    <w:p w:rsidR="00000000" w:rsidDel="00000000" w:rsidP="00000000" w:rsidRDefault="00000000" w:rsidRPr="00000000" w14:paraId="0000003D">
      <w:pP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spacing w:line="480" w:lineRule="auto"/>
        <w:ind w:left="0" w:firstLine="0"/>
        <w:rPr>
          <w:rFonts w:ascii="Times New Roman" w:cs="Times New Roman" w:eastAsia="Times New Roman" w:hAnsi="Times New Roman"/>
          <w:sz w:val="24"/>
          <w:szCs w:val="24"/>
        </w:rPr>
      </w:pPr>
      <w:r w:rsidDel="00000000" w:rsidR="00000000" w:rsidRPr="00000000">
        <w:rPr>
          <w:rtl w:val="0"/>
        </w:rPr>
      </w:r>
    </w:p>
    <w:sectPr>
      <w:head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cscb-new.co.uk/downloads/Serious%20Case%20Reviews%20-%20exec.%20summaries/SCR_Archive/Coventry%20SCR%20-%20Daniel%20Pelka%20(2013).pdf" TargetMode="External"/><Relationship Id="rId7" Type="http://schemas.openxmlformats.org/officeDocument/2006/relationships/hyperlink" Target="https://www.theguardian.com/education/2017/nov/27/grenfell-children-art-schools-tower" TargetMode="External"/><Relationship Id="rId8" Type="http://schemas.openxmlformats.org/officeDocument/2006/relationships/hyperlink" Target="https://www.huffingtonpost.com/entry/empathy-and-community-service_us_593b63f3e4b094fa859f18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