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Annotated Bibliography</w:t>
      </w:r>
    </w:p>
    <w:p w:rsidR="00000000" w:rsidDel="00000000" w:rsidP="00000000" w:rsidRDefault="00000000" w:rsidRPr="00000000" w14:paraId="000000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Cariou, Warren and Isabelle St-Amand. “Environmental Ethics through Changing Landscapes: Indigenous Activism and Literary Arts.” </w:t>
      </w:r>
      <w:r w:rsidDel="00000000" w:rsidR="00000000" w:rsidRPr="00000000">
        <w:rPr>
          <w:rFonts w:ascii="Times New Roman" w:cs="Times New Roman" w:eastAsia="Times New Roman" w:hAnsi="Times New Roman"/>
          <w:i w:val="1"/>
          <w:sz w:val="24"/>
          <w:szCs w:val="24"/>
          <w:rtl w:val="0"/>
        </w:rPr>
        <w:t xml:space="preserve">Canadian Review of Comparative Literature, </w:t>
      </w:r>
      <w:r w:rsidDel="00000000" w:rsidR="00000000" w:rsidRPr="00000000">
        <w:rPr>
          <w:rFonts w:ascii="Times New Roman" w:cs="Times New Roman" w:eastAsia="Times New Roman" w:hAnsi="Times New Roman"/>
          <w:sz w:val="24"/>
          <w:szCs w:val="24"/>
          <w:rtl w:val="0"/>
        </w:rPr>
        <w:t xml:space="preserve">44.1(2017): 7-24.</w:t>
      </w:r>
    </w:p>
    <w:p w:rsidR="00000000" w:rsidDel="00000000" w:rsidP="00000000" w:rsidRDefault="00000000" w:rsidRPr="00000000" w14:paraId="0000000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Cariou and St-Amand provide an argument for environmental conservation based on activism and literary works. They start the argument by forewarning about the disappearance of fish and women if care is not taken to honor and nurture them (7). The authors introduce the idea of decolonization in connection to protection of the environment and life sustenance. The idea of forming environmental movements has been at the core of ensuring the accomplishment of this endeavor in attempts to protect the indigenous people from the repercussions of non-compliance. Governments and non-governmental organizations, nationally and internationally, have been involved in this role amidst questions about responsibility. </w:t>
      </w:r>
    </w:p>
    <w:p w:rsidR="00000000" w:rsidDel="00000000" w:rsidP="00000000" w:rsidRDefault="00000000" w:rsidRPr="00000000" w14:paraId="0000000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view presented in this article is that violence to the environment is extended to human kind. Cariou and St-Amand exalt the role of poets, film-makers, and scholars and their contributions in explaining the relationships between land and the dwellers (8). The detrimental and irreversible effects of some activities, such as the exploration of oil and gas, are hereby explored where drilling into the earth’s surface is likened to drilling into a young woman’s body. In this light, the authors present the need to adopt environmental ethics if at all humans will continue living. The alternative of not living has been brought nearer than before by circumstances, such as the climate change, extinction of species, and adverse transformation on aquatic and terrestrial life. The indigenous people feel the impact through the consequences of such occurrences, among them the water crisis (8). Based on these arguments, Cariou and St-Amand thesis statement can be summarized as an examination of “the discourses, aesthetics, and knowledges that are emerging at the intersections of public protest, artistic expression, and environmental ethics” (9).   </w:t>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utilization of land as spaces for settlement and economic gains has legitimized the displacement of the indigenous dwellers thus necessitating their resistance (Cariou and St-Amand 10). The challenges experienced in the course of the struggle act as a booster for further resistance. Lawsuits emanate from such pressure while activism embarks on stories that depict the interconnectedness between land and the communities, an aspect that sets the pace for the decolonization of the natives’ existence (Cariou and St-Amand 10). This interconnectedness further stipulates a reciprocal relationship where the humans must take care of the land to benefit from it. </w:t>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environmental changes, some are gradual and others drastic. Language is depicted as a medium through which the indigenous people maintain their relationship with the land by recalling and interpreting significant occurrences as a basis for ethical engagements (Cariou and St-Amand 11). Some artistic expressions depict the land as an entity that speaks and communicates. The language of this entity is then interpreted by scholars to retell the land’s stories to the current and upcoming generations (12). </w:t>
      </w:r>
    </w:p>
    <w:p w:rsidR="00000000" w:rsidDel="00000000" w:rsidP="00000000" w:rsidRDefault="00000000" w:rsidRPr="00000000" w14:paraId="0000000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topic of ethics and literature, this article is relevant as it offers insights into the interrelationship between humans and the environment. It depicts environmental ethics as critical to the daily lives of humans. Works of literature, including poems, narratives, and artistic illustrations have been utilized in emphasizing the need for humans to lead ethical lives in relating to their residential lands. The argument put forth by Cariou and St-Amand has changed the way I perceive my responsibility in relation to interactions with the environment. I feel the necessity for everyone to be responsible for the well-being and sustenance of the ecosystems rather than utilizing the land only for economic gains. </w:t>
      </w:r>
    </w:p>
    <w:p w:rsidR="00000000" w:rsidDel="00000000" w:rsidP="00000000" w:rsidRDefault="00000000" w:rsidRPr="00000000" w14:paraId="000000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Glab, Anna. “The Other As Text: The Ethics of Love in Jeffrey Eugenide’s </w:t>
      </w:r>
      <w:r w:rsidDel="00000000" w:rsidR="00000000" w:rsidRPr="00000000">
        <w:rPr>
          <w:rFonts w:ascii="Times New Roman" w:cs="Times New Roman" w:eastAsia="Times New Roman" w:hAnsi="Times New Roman"/>
          <w:i w:val="1"/>
          <w:sz w:val="24"/>
          <w:szCs w:val="24"/>
          <w:rtl w:val="0"/>
        </w:rPr>
        <w:t xml:space="preserve">The Marriage Plot.” Renascence, </w:t>
      </w:r>
      <w:r w:rsidDel="00000000" w:rsidR="00000000" w:rsidRPr="00000000">
        <w:rPr>
          <w:rFonts w:ascii="Times New Roman" w:cs="Times New Roman" w:eastAsia="Times New Roman" w:hAnsi="Times New Roman"/>
          <w:sz w:val="24"/>
          <w:szCs w:val="24"/>
          <w:rtl w:val="0"/>
        </w:rPr>
        <w:t xml:space="preserve">68.4(2016): 266-283.</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article, Anna Glab uses the thesis” Literary fiction proves to be a most appropriate carrier of values, including the most frequently cherished one - love” (266). Glab posits that </w:t>
      </w:r>
      <w:r w:rsidDel="00000000" w:rsidR="00000000" w:rsidRPr="00000000">
        <w:rPr>
          <w:rFonts w:ascii="Times New Roman" w:cs="Times New Roman" w:eastAsia="Times New Roman" w:hAnsi="Times New Roman"/>
          <w:i w:val="1"/>
          <w:sz w:val="24"/>
          <w:szCs w:val="24"/>
          <w:rtl w:val="0"/>
        </w:rPr>
        <w:t xml:space="preserve">The Marriage Plot, </w:t>
      </w:r>
      <w:r w:rsidDel="00000000" w:rsidR="00000000" w:rsidRPr="00000000">
        <w:rPr>
          <w:rFonts w:ascii="Times New Roman" w:cs="Times New Roman" w:eastAsia="Times New Roman" w:hAnsi="Times New Roman"/>
          <w:sz w:val="24"/>
          <w:szCs w:val="24"/>
          <w:rtl w:val="0"/>
        </w:rPr>
        <w:t xml:space="preserve">by Jeffrey Eugenide, is one of the texts that questions and also validates this thesis. The novel demonstrates how love could yield happiness during the first instances but then turn sour in times to come. Eugenide also depicts reading as one way through which individuals can experience love (267). In </w:t>
      </w:r>
      <w:r w:rsidDel="00000000" w:rsidR="00000000" w:rsidRPr="00000000">
        <w:rPr>
          <w:rFonts w:ascii="Times New Roman" w:cs="Times New Roman" w:eastAsia="Times New Roman" w:hAnsi="Times New Roman"/>
          <w:i w:val="1"/>
          <w:sz w:val="24"/>
          <w:szCs w:val="24"/>
          <w:rtl w:val="0"/>
        </w:rPr>
        <w:t xml:space="preserve">The Marriage Plot, </w:t>
      </w:r>
      <w:r w:rsidDel="00000000" w:rsidR="00000000" w:rsidRPr="00000000">
        <w:rPr>
          <w:rFonts w:ascii="Times New Roman" w:cs="Times New Roman" w:eastAsia="Times New Roman" w:hAnsi="Times New Roman"/>
          <w:sz w:val="24"/>
          <w:szCs w:val="24"/>
          <w:rtl w:val="0"/>
        </w:rPr>
        <w:t xml:space="preserve">Madelaide Hannah and Leonard Bankhead, the two lovers of reference, have their experiences founded on a context of intellect in which the novel is set. The two met in semiotics classes and, therefore, were avid readers whose sensitivity in text interpretation is critical to understanding the development and termination of their relationship. </w:t>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Madelaine is guided in her love life by a text by Roland Barthes, </w:t>
      </w:r>
      <w:r w:rsidDel="00000000" w:rsidR="00000000" w:rsidRPr="00000000">
        <w:rPr>
          <w:rFonts w:ascii="Times New Roman" w:cs="Times New Roman" w:eastAsia="Times New Roman" w:hAnsi="Times New Roman"/>
          <w:i w:val="1"/>
          <w:sz w:val="24"/>
          <w:szCs w:val="24"/>
          <w:rtl w:val="0"/>
        </w:rPr>
        <w:t xml:space="preserve">A Lover’s Discourse: Fragments, </w:t>
      </w:r>
      <w:r w:rsidDel="00000000" w:rsidR="00000000" w:rsidRPr="00000000">
        <w:rPr>
          <w:rFonts w:ascii="Times New Roman" w:cs="Times New Roman" w:eastAsia="Times New Roman" w:hAnsi="Times New Roman"/>
          <w:sz w:val="24"/>
          <w:szCs w:val="24"/>
          <w:rtl w:val="0"/>
        </w:rPr>
        <w:t xml:space="preserve">which helps her to define her feelings and desires as well as limit her love through categorization. As such, Madelaine sees her lover, Leonard, from the perspective of Barthes (267). The idea of perceiving each other as texts becomes challenging due to secret needs, some of which are manifested but never verbalized. Reliance on philosophical and fictional texts creates another problem as the two lovers try to actualize the content through the experiences with each other. This yields a distorted conceptualization of love where no one seeks clarity but magic (268). Again, love is demonstrated in a way that contradicts the anticipated experiences within the cultural context. The loved individual is considered strange in that there is no social establishment that would enable one to understand him or her. In Barthes’ terms, this individual is the “</w:t>
      </w:r>
      <w:r w:rsidDel="00000000" w:rsidR="00000000" w:rsidRPr="00000000">
        <w:rPr>
          <w:rFonts w:ascii="Times New Roman" w:cs="Times New Roman" w:eastAsia="Times New Roman" w:hAnsi="Times New Roman"/>
          <w:i w:val="1"/>
          <w:sz w:val="24"/>
          <w:szCs w:val="24"/>
          <w:rtl w:val="0"/>
        </w:rPr>
        <w:t xml:space="preserve">other” </w:t>
      </w:r>
      <w:r w:rsidDel="00000000" w:rsidR="00000000" w:rsidRPr="00000000">
        <w:rPr>
          <w:rFonts w:ascii="Times New Roman" w:cs="Times New Roman" w:eastAsia="Times New Roman" w:hAnsi="Times New Roman"/>
          <w:sz w:val="24"/>
          <w:szCs w:val="24"/>
          <w:rtl w:val="0"/>
        </w:rPr>
        <w:t xml:space="preserve">(269) and carries the meaning of uniqueness and originality. When “</w:t>
      </w:r>
      <w:r w:rsidDel="00000000" w:rsidR="00000000" w:rsidRPr="00000000">
        <w:rPr>
          <w:rFonts w:ascii="Times New Roman" w:cs="Times New Roman" w:eastAsia="Times New Roman" w:hAnsi="Times New Roman"/>
          <w:i w:val="1"/>
          <w:sz w:val="24"/>
          <w:szCs w:val="24"/>
          <w:rtl w:val="0"/>
        </w:rPr>
        <w:t xml:space="preserve">the other” </w:t>
      </w:r>
      <w:r w:rsidDel="00000000" w:rsidR="00000000" w:rsidRPr="00000000">
        <w:rPr>
          <w:rFonts w:ascii="Times New Roman" w:cs="Times New Roman" w:eastAsia="Times New Roman" w:hAnsi="Times New Roman"/>
          <w:sz w:val="24"/>
          <w:szCs w:val="24"/>
          <w:rtl w:val="0"/>
        </w:rPr>
        <w:t xml:space="preserve">is used in ethical conceptualization, it emphasizes the need to avoid egoism and be responsible (269). </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Barthes’ text enables Madeleine to understand and reconstruct her love with Leonard. Clarity is one of the aspects she sought in her relationship and which she tried to actualize by reading other texts though they were not representative of her experiences as was the text by Barthes. While the narrator un Barthes’ text tends to offer accurate interpretations of Madeleine’s experiences, he admits the distinctiveness of the reality of love (272). In this light, Eugenide emphasizes the need to discover the self, constituting this discovery into the text, and interacting with </w:t>
      </w:r>
      <w:r w:rsidDel="00000000" w:rsidR="00000000" w:rsidRPr="00000000">
        <w:rPr>
          <w:rFonts w:ascii="Times New Roman" w:cs="Times New Roman" w:eastAsia="Times New Roman" w:hAnsi="Times New Roman"/>
          <w:i w:val="1"/>
          <w:sz w:val="24"/>
          <w:szCs w:val="24"/>
          <w:rtl w:val="0"/>
        </w:rPr>
        <w:t xml:space="preserve">the other, </w:t>
      </w:r>
      <w:r w:rsidDel="00000000" w:rsidR="00000000" w:rsidRPr="00000000">
        <w:rPr>
          <w:rFonts w:ascii="Times New Roman" w:cs="Times New Roman" w:eastAsia="Times New Roman" w:hAnsi="Times New Roman"/>
          <w:sz w:val="24"/>
          <w:szCs w:val="24"/>
          <w:rtl w:val="0"/>
        </w:rPr>
        <w:t xml:space="preserve">in this case, the individual loved (281). </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was quite informative as far as the notion of love and the experiences associated with the same are concerned. The idea of relating one’s experiences with a specific literary work is particularly insightful. In terms of literature ethics, it emerges that a specific text can be a determinant of how one reconstructs his or her relationship with another individual. Being over-reliant on what one reads, however, may be frustrating as the other individual in a relationship must not necessarily align his or her life with the content of a text of one’s interest. It is in this light that Eugenide emphasizes the need for self-discovery and constitution of the same in reading and actualizing the experiences narrated within a literary work.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Vdovin, Alexey. “Devilish Money” and Peasant Ethics: Leo Tolstoy’s Economic Imagination and Emplotment in “Polikushka.” </w:t>
      </w:r>
      <w:r w:rsidDel="00000000" w:rsidR="00000000" w:rsidRPr="00000000">
        <w:rPr>
          <w:rFonts w:ascii="Times New Roman" w:cs="Times New Roman" w:eastAsia="Times New Roman" w:hAnsi="Times New Roman"/>
          <w:i w:val="1"/>
          <w:sz w:val="24"/>
          <w:szCs w:val="24"/>
          <w:rtl w:val="0"/>
        </w:rPr>
        <w:t xml:space="preserve">The Russian Review, </w:t>
      </w:r>
      <w:r w:rsidDel="00000000" w:rsidR="00000000" w:rsidRPr="00000000">
        <w:rPr>
          <w:rFonts w:ascii="Times New Roman" w:cs="Times New Roman" w:eastAsia="Times New Roman" w:hAnsi="Times New Roman"/>
          <w:sz w:val="24"/>
          <w:szCs w:val="24"/>
          <w:rtl w:val="0"/>
        </w:rPr>
        <w:t xml:space="preserve">76(2017): 53-71</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article, Alexey Vdovin seeks to create new meaning of the short story “Polikushka” authored by Tolstoy. Vdovin intention is “to show how the plot brings to life the social and economic implications inspired by different economic discourses of his time” (53). In this light, Vdovin posits that Tolstoy adopts a monetary plot and offers an indirect interpretation in relation to money and the stereotypes within the Russian society. Polikei’s death is depicted as a devilish outcome of money with the question of guilt remaining unanswered (54).</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it was against the law to recruit sole earners of a family into the army, Polikei is targeted for recruitment but his landlady refutes and sends him to town to collect a lump sum of money from a servant. Polikei loses the money and hangs himself (55).</w:t>
      </w:r>
    </w:p>
    <w:p w:rsidR="00000000" w:rsidDel="00000000" w:rsidP="00000000" w:rsidRDefault="00000000" w:rsidRPr="00000000" w14:paraId="0000001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“Polikushka” also links money to social coexistence where landlords and landladies could substitute individuals targeted in the recruitment with money. The role of money is depicted in evil ways and in particular the paper money. The latter is easier to lose, as happened to Polikei, and is also associated with the devil in peasants’ perceptions (58). This belief is reinforced by dual exchange scenario in which silver is meant for the nobility while paper money is for the poor. The duality is further depicted among the minority and majority in the education realms (59). </w:t>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Devilish money is further depicted as suicidal, an aspect not only connected to Polikei’s act, but also traced back to the times of Judas and thirty silvers (60). The idea of collecting money and using it as if one’s own is also revisited herein as a tragedy. Vdovin likens some scenes in “Polikushka” to occurrences in other literary texts. Dutlov, who collects the money lost by Polikei, engages in all kinds of pleasure and ruins his family’s life. A return of the collected money to the owner is depicted as the only means of restoration as the money is readily cursed by the nobility to ruin the peasants (61). </w:t>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real course of Polikei’s suicide is further questioned as it is not clear whether it is the loss of money that yielded his suicide. His character is depicted as wanting, particularly in the way he related to the landlady who appeared to favor Polikei’s family in various endeavors. The landlady’s philanthropic engagements are thus depicted as hypocritical just like Polikei’s character which he tried to mould to fit in the class of the nobles (64).</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Vdovin also looks into the issue of education and how it used in “Polikushka” to change individuals and their beliefs. While Tolstoy presents the view that education should never be used to change an individual. He reiterates Polikei’s tragedy that was accompanied by resistance to the landlady’s demands for reeducation. While reeducation may be geared toward creation of money and wealth, money is of no use as it eventually becomes dust and even the economic investments made for the sake of the peasants are of no benefit (Vdovin 67) . it, therefore, emerges that “Polikushka” is a demonstration of peasantry relations that are destroyed by money from the devil as well as peasant-landlord relations in a context where none knows the needs of the other (19).</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is important as it demonstrates the aspects that characterize the relationships among peasants as well as with their landlords. The attribute of money as a social evil is reinforced herein through occurrences that emanate from the idea of having money in paper or silver form. The distinctions created by money are further evidenced as raising ethical concerns, particularly in alignment with those who collect lost money and fail to return it to the owners. The importance of this article lies in the author’s capacity in identifying the devilish connection between individuals and how they use money which is an ethical concern.    </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Surname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