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98D" w:rsidRPr="0031598D" w:rsidRDefault="0031598D" w:rsidP="0031598D">
      <w:pPr>
        <w:spacing w:after="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31598D">
        <w:rPr>
          <w:rFonts w:ascii="inherit" w:eastAsia="Times New Roman" w:hAnsi="inherit" w:cs="Arial"/>
          <w:color w:val="676767"/>
          <w:sz w:val="24"/>
          <w:szCs w:val="24"/>
        </w:rPr>
        <w:t>Milstead, J. A., &amp; Short, N. M. (2019). Health policy and politics: A nurse’s guide (6th ed.). Burlington, MA: Jones &amp; Bartlett Learning.</w:t>
      </w:r>
    </w:p>
    <w:p w:rsidR="0031598D" w:rsidRPr="0031598D" w:rsidRDefault="0031598D" w:rsidP="0031598D">
      <w:pPr>
        <w:numPr>
          <w:ilvl w:val="0"/>
          <w:numId w:val="1"/>
        </w:numPr>
        <w:spacing w:after="10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31598D">
        <w:rPr>
          <w:rFonts w:ascii="inherit" w:eastAsia="Times New Roman" w:hAnsi="inherit" w:cs="Arial"/>
          <w:color w:val="676767"/>
          <w:sz w:val="24"/>
          <w:szCs w:val="24"/>
        </w:rPr>
        <w:t>Chapter 4, “Government Response: Regulation” (pp. 57–84)</w:t>
      </w:r>
    </w:p>
    <w:p w:rsidR="0031598D" w:rsidRPr="0031598D" w:rsidRDefault="0031598D" w:rsidP="0031598D">
      <w:pPr>
        <w:spacing w:after="0" w:line="240" w:lineRule="auto"/>
        <w:rPr>
          <w:rFonts w:ascii="Arial" w:eastAsia="Times New Roman" w:hAnsi="Arial" w:cs="Times New Roman"/>
          <w:color w:val="0000FF"/>
          <w:sz w:val="24"/>
          <w:szCs w:val="24"/>
          <w:shd w:val="clear" w:color="auto" w:fill="FFFFFF"/>
        </w:rPr>
      </w:pP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1598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"http://www.nursingworld.org/" \o "ANA enterprise" \t "_blank" </w:instrText>
      </w: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31598D" w:rsidRPr="0031598D" w:rsidRDefault="0031598D" w:rsidP="0031598D">
      <w:pPr>
        <w:spacing w:after="100" w:line="240" w:lineRule="auto"/>
        <w:rPr>
          <w:rFonts w:ascii="inherit" w:eastAsia="Times New Roman" w:hAnsi="inherit" w:cs="Times New Roman"/>
          <w:color w:val="676767"/>
          <w:sz w:val="24"/>
          <w:szCs w:val="24"/>
        </w:rPr>
      </w:pPr>
      <w:r w:rsidRPr="0031598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 xml:space="preserve">American Nurses Association. (n.d.). </w:t>
      </w:r>
      <w:r w:rsidRPr="0031598D">
        <w:rPr>
          <w:rFonts w:ascii="inherit" w:eastAsia="Times New Roman" w:hAnsi="inherit" w:cs="Arial"/>
          <w:i/>
          <w:iCs/>
          <w:color w:val="676767"/>
          <w:sz w:val="24"/>
          <w:szCs w:val="24"/>
          <w:shd w:val="clear" w:color="auto" w:fill="FFFFFF"/>
        </w:rPr>
        <w:t>ANA enterprise</w:t>
      </w:r>
      <w:r w:rsidRPr="0031598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 xml:space="preserve">. Retrieved September 20, 2018, from http://www.nursingworld.org </w:t>
      </w:r>
    </w:p>
    <w:p w:rsidR="0031598D" w:rsidRPr="0031598D" w:rsidRDefault="0031598D" w:rsidP="00315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1598D" w:rsidRPr="0031598D" w:rsidRDefault="0031598D" w:rsidP="0031598D">
      <w:pPr>
        <w:spacing w:after="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proofErr w:type="spellStart"/>
      <w:r w:rsidRPr="0031598D">
        <w:rPr>
          <w:rFonts w:ascii="inherit" w:eastAsia="Times New Roman" w:hAnsi="inherit" w:cs="Arial"/>
          <w:color w:val="676767"/>
          <w:sz w:val="24"/>
          <w:szCs w:val="24"/>
        </w:rPr>
        <w:t>Bosse</w:t>
      </w:r>
      <w:proofErr w:type="spellEnd"/>
      <w:r w:rsidRPr="0031598D">
        <w:rPr>
          <w:rFonts w:ascii="inherit" w:eastAsia="Times New Roman" w:hAnsi="inherit" w:cs="Arial"/>
          <w:color w:val="676767"/>
          <w:sz w:val="24"/>
          <w:szCs w:val="24"/>
        </w:rPr>
        <w:t xml:space="preserve">, J., Simmonds, K., Hanson, C., </w:t>
      </w:r>
      <w:proofErr w:type="spellStart"/>
      <w:r w:rsidRPr="0031598D">
        <w:rPr>
          <w:rFonts w:ascii="inherit" w:eastAsia="Times New Roman" w:hAnsi="inherit" w:cs="Arial"/>
          <w:color w:val="676767"/>
          <w:sz w:val="24"/>
          <w:szCs w:val="24"/>
        </w:rPr>
        <w:t>Pulcini</w:t>
      </w:r>
      <w:proofErr w:type="spellEnd"/>
      <w:r w:rsidRPr="0031598D">
        <w:rPr>
          <w:rFonts w:ascii="inherit" w:eastAsia="Times New Roman" w:hAnsi="inherit" w:cs="Arial"/>
          <w:color w:val="676767"/>
          <w:sz w:val="24"/>
          <w:szCs w:val="24"/>
        </w:rPr>
        <w:t xml:space="preserve">, J., Dunphy, L., </w:t>
      </w:r>
      <w:proofErr w:type="spellStart"/>
      <w:r w:rsidRPr="0031598D">
        <w:rPr>
          <w:rFonts w:ascii="inherit" w:eastAsia="Times New Roman" w:hAnsi="inherit" w:cs="Arial"/>
          <w:color w:val="676767"/>
          <w:sz w:val="24"/>
          <w:szCs w:val="24"/>
        </w:rPr>
        <w:t>Vanhook</w:t>
      </w:r>
      <w:proofErr w:type="spellEnd"/>
      <w:r w:rsidRPr="0031598D">
        <w:rPr>
          <w:rFonts w:ascii="inherit" w:eastAsia="Times New Roman" w:hAnsi="inherit" w:cs="Arial"/>
          <w:color w:val="676767"/>
          <w:sz w:val="24"/>
          <w:szCs w:val="24"/>
        </w:rPr>
        <w:t xml:space="preserve">, P., &amp; </w:t>
      </w:r>
      <w:proofErr w:type="spellStart"/>
      <w:r w:rsidRPr="0031598D">
        <w:rPr>
          <w:rFonts w:ascii="inherit" w:eastAsia="Times New Roman" w:hAnsi="inherit" w:cs="Arial"/>
          <w:color w:val="676767"/>
          <w:sz w:val="24"/>
          <w:szCs w:val="24"/>
        </w:rPr>
        <w:t>Poghosyan</w:t>
      </w:r>
      <w:proofErr w:type="spellEnd"/>
      <w:r w:rsidRPr="0031598D">
        <w:rPr>
          <w:rFonts w:ascii="inherit" w:eastAsia="Times New Roman" w:hAnsi="inherit" w:cs="Arial"/>
          <w:color w:val="676767"/>
          <w:sz w:val="24"/>
          <w:szCs w:val="24"/>
        </w:rPr>
        <w:t xml:space="preserve">, L. (2017). Position statement: Full practice authority for advanced practice registered nurses is necessary to transform primary care. </w:t>
      </w:r>
      <w:r w:rsidRPr="0031598D">
        <w:rPr>
          <w:rFonts w:ascii="inherit" w:eastAsia="Times New Roman" w:hAnsi="inherit" w:cs="Arial"/>
          <w:i/>
          <w:iCs/>
          <w:color w:val="676767"/>
          <w:sz w:val="24"/>
          <w:szCs w:val="24"/>
        </w:rPr>
        <w:t>Nursing Outlook, 65</w:t>
      </w:r>
      <w:r w:rsidRPr="0031598D">
        <w:rPr>
          <w:rFonts w:ascii="inherit" w:eastAsia="Times New Roman" w:hAnsi="inherit" w:cs="Arial"/>
          <w:color w:val="676767"/>
          <w:sz w:val="24"/>
          <w:szCs w:val="24"/>
        </w:rPr>
        <w:t xml:space="preserve">(6), 761–765. </w:t>
      </w:r>
      <w:proofErr w:type="gramStart"/>
      <w:r w:rsidRPr="0031598D">
        <w:rPr>
          <w:rFonts w:ascii="inherit" w:eastAsia="Times New Roman" w:hAnsi="inherit" w:cs="Arial"/>
          <w:color w:val="676767"/>
          <w:sz w:val="24"/>
          <w:szCs w:val="24"/>
        </w:rPr>
        <w:t>doi:10.1016/j.outlook</w:t>
      </w:r>
      <w:proofErr w:type="gramEnd"/>
      <w:r w:rsidRPr="0031598D">
        <w:rPr>
          <w:rFonts w:ascii="inherit" w:eastAsia="Times New Roman" w:hAnsi="inherit" w:cs="Arial"/>
          <w:color w:val="676767"/>
          <w:sz w:val="24"/>
          <w:szCs w:val="24"/>
        </w:rPr>
        <w:t>.2017.10.002</w:t>
      </w:r>
    </w:p>
    <w:p w:rsidR="0031598D" w:rsidRPr="0031598D" w:rsidRDefault="0031598D" w:rsidP="0031598D">
      <w:pPr>
        <w:spacing w:after="10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31598D">
        <w:rPr>
          <w:rFonts w:ascii="inherit" w:eastAsia="Times New Roman" w:hAnsi="inherit" w:cs="Arial"/>
          <w:b/>
          <w:bCs/>
          <w:color w:val="676767"/>
          <w:sz w:val="24"/>
          <w:szCs w:val="24"/>
        </w:rPr>
        <w:t>Note:</w:t>
      </w:r>
      <w:r w:rsidRPr="0031598D">
        <w:rPr>
          <w:rFonts w:ascii="inherit" w:eastAsia="Times New Roman" w:hAnsi="inherit" w:cs="Arial"/>
          <w:color w:val="676767"/>
          <w:sz w:val="24"/>
          <w:szCs w:val="24"/>
        </w:rPr>
        <w:t xml:space="preserve"> You will access this article from the Walden Library databases.</w:t>
      </w:r>
    </w:p>
    <w:p w:rsidR="0031598D" w:rsidRPr="0031598D" w:rsidRDefault="0031598D" w:rsidP="0031598D">
      <w:pPr>
        <w:spacing w:after="0" w:line="240" w:lineRule="auto"/>
        <w:rPr>
          <w:rFonts w:ascii="Arial" w:eastAsia="Times New Roman" w:hAnsi="Arial" w:cs="Times New Roman"/>
          <w:color w:val="0000FF"/>
          <w:sz w:val="24"/>
          <w:szCs w:val="24"/>
          <w:shd w:val="clear" w:color="auto" w:fill="FFFFFF"/>
        </w:rPr>
      </w:pP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1598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"https://class.waldenu.edu/bbcswebdav/institution/USW1/201970_27/MS_NURS/NURS_6050/artifacts/USW1_NURS_6050_Halm_2018.pdf" \o "Evaluating the impact of EBP education: Development of a modified Fresno test for acute care nursing" \t "_blank" </w:instrText>
      </w: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31598D" w:rsidRPr="0031598D" w:rsidRDefault="0031598D" w:rsidP="0031598D">
      <w:pPr>
        <w:spacing w:after="100" w:line="240" w:lineRule="auto"/>
        <w:rPr>
          <w:rFonts w:ascii="inherit" w:eastAsia="Times New Roman" w:hAnsi="inherit" w:cs="Times New Roman"/>
          <w:color w:val="676767"/>
          <w:sz w:val="24"/>
          <w:szCs w:val="24"/>
        </w:rPr>
      </w:pPr>
      <w:r w:rsidRPr="0031598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 xml:space="preserve">Halm, M. A. (2018). Evaluating the impact of EBP education: Development of a modified Fresno test for acute care nursing. </w:t>
      </w:r>
      <w:r w:rsidRPr="0031598D">
        <w:rPr>
          <w:rFonts w:ascii="inherit" w:eastAsia="Times New Roman" w:hAnsi="inherit" w:cs="Arial"/>
          <w:i/>
          <w:iCs/>
          <w:color w:val="676767"/>
          <w:sz w:val="24"/>
          <w:szCs w:val="24"/>
          <w:shd w:val="clear" w:color="auto" w:fill="FFFFFF"/>
        </w:rPr>
        <w:t>Worldviews on Evidence-Based Nursing, 15</w:t>
      </w:r>
      <w:r w:rsidRPr="0031598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>(4), 272–280. doi:10.1111/wvn.12291</w:t>
      </w:r>
    </w:p>
    <w:p w:rsidR="0031598D" w:rsidRPr="0031598D" w:rsidRDefault="0031598D" w:rsidP="0031598D">
      <w:pPr>
        <w:spacing w:after="0" w:line="240" w:lineRule="auto"/>
        <w:rPr>
          <w:rFonts w:ascii="Arial" w:eastAsia="Times New Roman" w:hAnsi="Arial" w:cs="Times New Roman"/>
          <w:color w:val="0000FF"/>
          <w:sz w:val="24"/>
          <w:szCs w:val="24"/>
        </w:rPr>
      </w:pP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1598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"https://www.ncsbn.org/index.htm" \o "National Council of State Boards of Nursing (NCSBN)" \t "_blank" </w:instrText>
      </w: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31598D" w:rsidRPr="0031598D" w:rsidRDefault="0031598D" w:rsidP="0031598D">
      <w:pPr>
        <w:spacing w:after="100" w:line="240" w:lineRule="auto"/>
        <w:rPr>
          <w:rFonts w:ascii="inherit" w:eastAsia="Times New Roman" w:hAnsi="inherit" w:cs="Times New Roman"/>
          <w:color w:val="676767"/>
          <w:sz w:val="24"/>
          <w:szCs w:val="24"/>
        </w:rPr>
      </w:pPr>
      <w:r w:rsidRPr="0031598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>National Council of State Boards of Nursing (NCSBN). (n.d.). Retrieved September 20, 2018, from https://www.ncsbn.org/index.htm</w:t>
      </w:r>
    </w:p>
    <w:p w:rsidR="0031598D" w:rsidRPr="0031598D" w:rsidRDefault="0031598D" w:rsidP="00315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9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1598D" w:rsidRPr="0031598D" w:rsidRDefault="0031598D" w:rsidP="0031598D">
      <w:pPr>
        <w:spacing w:after="10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31598D">
        <w:rPr>
          <w:rFonts w:ascii="inherit" w:eastAsia="Times New Roman" w:hAnsi="inherit" w:cs="Arial"/>
          <w:color w:val="676767"/>
          <w:sz w:val="24"/>
          <w:szCs w:val="24"/>
        </w:rPr>
        <w:t xml:space="preserve">Neff, D. F., Yoon, S. H., Steiner, R. L., </w:t>
      </w:r>
      <w:proofErr w:type="spellStart"/>
      <w:r w:rsidRPr="0031598D">
        <w:rPr>
          <w:rFonts w:ascii="inherit" w:eastAsia="Times New Roman" w:hAnsi="inherit" w:cs="Arial"/>
          <w:color w:val="676767"/>
          <w:sz w:val="24"/>
          <w:szCs w:val="24"/>
        </w:rPr>
        <w:t>Bumbach</w:t>
      </w:r>
      <w:proofErr w:type="spellEnd"/>
      <w:r w:rsidRPr="0031598D">
        <w:rPr>
          <w:rFonts w:ascii="inherit" w:eastAsia="Times New Roman" w:hAnsi="inherit" w:cs="Arial"/>
          <w:color w:val="676767"/>
          <w:sz w:val="24"/>
          <w:szCs w:val="24"/>
        </w:rPr>
        <w:t xml:space="preserve">, M. D., Everhart, </w:t>
      </w:r>
    </w:p>
    <w:p w:rsidR="0031598D" w:rsidRDefault="0031598D" w:rsidP="0031598D">
      <w:pPr>
        <w:pStyle w:val="NormalWeb"/>
        <w:spacing w:before="0" w:beforeAutospacing="0" w:after="0" w:afterAutospacing="0"/>
        <w:rPr>
          <w:rFonts w:ascii="inherit" w:hAnsi="inherit" w:cs="Arial"/>
          <w:color w:val="676767"/>
        </w:rPr>
      </w:pPr>
      <w:r>
        <w:rPr>
          <w:rFonts w:ascii="inherit" w:hAnsi="inherit" w:cs="Arial"/>
          <w:color w:val="676767"/>
        </w:rPr>
        <w:t xml:space="preserve">., &amp; Harman J. S. (2018). The impact of nurse practitioner regulations on population access to care. </w:t>
      </w:r>
      <w:r>
        <w:rPr>
          <w:rStyle w:val="Emphasis"/>
          <w:rFonts w:ascii="inherit" w:hAnsi="inherit" w:cs="Arial"/>
          <w:color w:val="676767"/>
        </w:rPr>
        <w:t>Nursing Outlook, 66</w:t>
      </w:r>
      <w:r>
        <w:rPr>
          <w:rFonts w:ascii="inherit" w:hAnsi="inherit" w:cs="Arial"/>
          <w:color w:val="676767"/>
        </w:rPr>
        <w:t xml:space="preserve">(4), 379–385. </w:t>
      </w:r>
      <w:proofErr w:type="gramStart"/>
      <w:r>
        <w:rPr>
          <w:rFonts w:ascii="inherit" w:hAnsi="inherit" w:cs="Arial"/>
          <w:color w:val="676767"/>
        </w:rPr>
        <w:t>doi:10.1016/j.outlook</w:t>
      </w:r>
      <w:proofErr w:type="gramEnd"/>
      <w:r>
        <w:rPr>
          <w:rFonts w:ascii="inherit" w:hAnsi="inherit" w:cs="Arial"/>
          <w:color w:val="676767"/>
        </w:rPr>
        <w:t xml:space="preserve">.2018.03.001 </w:t>
      </w:r>
    </w:p>
    <w:p w:rsidR="0031598D" w:rsidRDefault="0031598D" w:rsidP="0031598D">
      <w:pPr>
        <w:pStyle w:val="NormalWeb"/>
        <w:spacing w:before="0" w:beforeAutospacing="0" w:after="0" w:afterAutospacing="0"/>
        <w:rPr>
          <w:rFonts w:ascii="inherit" w:hAnsi="inherit" w:cs="Arial"/>
          <w:color w:val="676767"/>
        </w:rPr>
      </w:pPr>
      <w:r>
        <w:rPr>
          <w:rStyle w:val="Strong"/>
          <w:rFonts w:ascii="inherit" w:hAnsi="inherit" w:cs="Arial"/>
          <w:color w:val="676767"/>
        </w:rPr>
        <w:t>Note:</w:t>
      </w:r>
      <w:r>
        <w:rPr>
          <w:rFonts w:ascii="inherit" w:hAnsi="inherit" w:cs="Arial"/>
          <w:color w:val="676767"/>
        </w:rPr>
        <w:t xml:space="preserve"> You will access this article from the Walden Library databases.</w:t>
      </w:r>
    </w:p>
    <w:p w:rsidR="0031598D" w:rsidRDefault="0031598D" w:rsidP="0031598D">
      <w:pPr>
        <w:pStyle w:val="NormalWeb"/>
        <w:spacing w:before="0" w:beforeAutospacing="0" w:after="0" w:afterAutospacing="0"/>
        <w:rPr>
          <w:rFonts w:ascii="inherit" w:hAnsi="inherit" w:cs="Arial"/>
          <w:color w:val="676767"/>
        </w:rPr>
      </w:pPr>
      <w:r>
        <w:rPr>
          <w:rFonts w:ascii="inherit" w:hAnsi="inherit" w:cs="Arial"/>
          <w:color w:val="676767"/>
        </w:rPr>
        <w:t xml:space="preserve">Peterson, C., Adams, S. A., &amp; </w:t>
      </w:r>
      <w:proofErr w:type="spellStart"/>
      <w:r>
        <w:rPr>
          <w:rFonts w:ascii="inherit" w:hAnsi="inherit" w:cs="Arial"/>
          <w:color w:val="676767"/>
        </w:rPr>
        <w:t>DeMuro</w:t>
      </w:r>
      <w:proofErr w:type="spellEnd"/>
      <w:r>
        <w:rPr>
          <w:rFonts w:ascii="inherit" w:hAnsi="inherit" w:cs="Arial"/>
          <w:color w:val="676767"/>
        </w:rPr>
        <w:t xml:space="preserve">, P. R. (2015). mHealth: Don’t forget all the stakeholders in the business case. </w:t>
      </w:r>
      <w:r>
        <w:rPr>
          <w:rStyle w:val="Emphasis"/>
          <w:rFonts w:ascii="inherit" w:hAnsi="inherit" w:cs="Arial"/>
          <w:color w:val="676767"/>
        </w:rPr>
        <w:t>Medicine 2.0, 4</w:t>
      </w:r>
      <w:r>
        <w:rPr>
          <w:rFonts w:ascii="inherit" w:hAnsi="inherit" w:cs="Arial"/>
          <w:color w:val="676767"/>
        </w:rPr>
        <w:t xml:space="preserve">(2), e4. doi:10.2196/med20.4349 </w:t>
      </w:r>
    </w:p>
    <w:p w:rsidR="0031598D" w:rsidRDefault="0031598D" w:rsidP="0031598D">
      <w:pPr>
        <w:pStyle w:val="NormalWeb"/>
        <w:spacing w:before="0" w:beforeAutospacing="0" w:after="0" w:afterAutospacing="0"/>
        <w:rPr>
          <w:rFonts w:ascii="inherit" w:hAnsi="inherit" w:cs="Arial"/>
          <w:color w:val="676767"/>
        </w:rPr>
      </w:pPr>
      <w:r>
        <w:rPr>
          <w:rStyle w:val="Strong"/>
          <w:rFonts w:ascii="inherit" w:hAnsi="inherit" w:cs="Arial"/>
          <w:color w:val="676767"/>
        </w:rPr>
        <w:t>Note:</w:t>
      </w:r>
      <w:r>
        <w:rPr>
          <w:rFonts w:ascii="inherit" w:hAnsi="inherit" w:cs="Arial"/>
          <w:color w:val="676767"/>
        </w:rPr>
        <w:t xml:space="preserve"> You will access this article from the Walden Library databases.</w:t>
      </w:r>
    </w:p>
    <w:p w:rsidR="006E42F4" w:rsidRDefault="0031598D">
      <w:pPr>
        <w:rPr>
          <w:rFonts w:ascii="Arial" w:hAnsi="Arial" w:cs="Arial"/>
          <w:color w:val="676767"/>
          <w:shd w:val="clear" w:color="auto" w:fill="F4F4F4"/>
        </w:rPr>
      </w:pPr>
      <w:r>
        <w:rPr>
          <w:rFonts w:ascii="Arial" w:hAnsi="Arial" w:cs="Arial"/>
          <w:color w:val="676767"/>
          <w:shd w:val="clear" w:color="auto" w:fill="F4F4F4"/>
        </w:rPr>
        <w:t xml:space="preserve">Laureate Education (Producer). (2018). </w:t>
      </w:r>
      <w:r>
        <w:rPr>
          <w:rStyle w:val="Emphasis"/>
          <w:rFonts w:ascii="Arial" w:hAnsi="Arial" w:cs="Arial"/>
          <w:color w:val="676767"/>
          <w:shd w:val="clear" w:color="auto" w:fill="F4F4F4"/>
        </w:rPr>
        <w:t>The Regulatory Process</w:t>
      </w:r>
      <w:r>
        <w:rPr>
          <w:rFonts w:ascii="Arial" w:hAnsi="Arial" w:cs="Arial"/>
          <w:color w:val="676767"/>
          <w:shd w:val="clear" w:color="auto" w:fill="F4F4F4"/>
        </w:rPr>
        <w:t xml:space="preserve"> [Video file]. Baltimore, MD: Author.</w:t>
      </w:r>
    </w:p>
    <w:p w:rsidR="0031598D" w:rsidRDefault="0031598D">
      <w:r>
        <w:rPr>
          <w:rFonts w:ascii="Arial" w:hAnsi="Arial" w:cs="Arial"/>
          <w:color w:val="676767"/>
          <w:shd w:val="clear" w:color="auto" w:fill="F4F4F4"/>
        </w:rPr>
        <w:t xml:space="preserve">Laureate Education (Producer). (2018). </w:t>
      </w:r>
      <w:r>
        <w:rPr>
          <w:rStyle w:val="Emphasis"/>
          <w:rFonts w:ascii="Arial" w:hAnsi="Arial" w:cs="Arial"/>
          <w:color w:val="676767"/>
          <w:shd w:val="clear" w:color="auto" w:fill="F4F4F4"/>
        </w:rPr>
        <w:t>Healthcare economics and financing</w:t>
      </w:r>
      <w:r>
        <w:rPr>
          <w:rFonts w:ascii="Arial" w:hAnsi="Arial" w:cs="Arial"/>
          <w:color w:val="676767"/>
          <w:shd w:val="clear" w:color="auto" w:fill="F4F4F4"/>
        </w:rPr>
        <w:t xml:space="preserve"> [Video file]. Baltimore, MD: Author.</w:t>
      </w:r>
      <w:bookmarkStart w:id="0" w:name="_GoBack"/>
      <w:bookmarkEnd w:id="0"/>
    </w:p>
    <w:sectPr w:rsidR="0031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F55D5"/>
    <w:multiLevelType w:val="multilevel"/>
    <w:tmpl w:val="0DE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8D"/>
    <w:rsid w:val="0031598D"/>
    <w:rsid w:val="006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20C3"/>
  <w15:chartTrackingRefBased/>
  <w15:docId w15:val="{7B4B584C-FC7F-45D5-87E6-C355F4A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598D"/>
    <w:rPr>
      <w:i/>
      <w:iCs/>
    </w:rPr>
  </w:style>
  <w:style w:type="character" w:styleId="Strong">
    <w:name w:val="Strong"/>
    <w:basedOn w:val="DefaultParagraphFont"/>
    <w:uiPriority w:val="22"/>
    <w:qFormat/>
    <w:rsid w:val="00315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733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342661252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  <w:div w:id="26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5851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981424559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2128886560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997148103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880623772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533032975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Tijani, Adebisi T</dc:creator>
  <cp:keywords/>
  <dc:description/>
  <cp:lastModifiedBy>Tijani, Adebisi T</cp:lastModifiedBy>
  <cp:revision>1</cp:revision>
  <dcterms:created xsi:type="dcterms:W3CDTF">2019-07-08T15:31:00Z</dcterms:created>
  <dcterms:modified xsi:type="dcterms:W3CDTF">2019-07-08T15:34:00Z</dcterms:modified>
</cp:coreProperties>
</file>