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 w:rsidR="00B37337" w:rsidRPr="002B204E" w:rsidP="00D55EB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04E">
        <w:rPr>
          <w:rFonts w:ascii="Times New Roman" w:hAnsi="Times New Roman" w:cs="Times New Roman"/>
          <w:b/>
          <w:bCs/>
          <w:sz w:val="24"/>
          <w:szCs w:val="24"/>
        </w:rPr>
        <w:t>Assessing Musculoskeletal Pain: Case 1- Back Pain</w:t>
      </w:r>
    </w:p>
    <w:p w:rsidR="007D3683" w:rsidRPr="00D55EBB" w:rsidP="00D55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sz w:val="24"/>
          <w:szCs w:val="24"/>
        </w:rPr>
        <w:t>Patient: X                Age: 42                        Gender: Male</w:t>
      </w:r>
    </w:p>
    <w:p w:rsidR="00747D53" w:rsidRPr="00D55EBB" w:rsidP="00D55EB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55EBB">
        <w:rPr>
          <w:rFonts w:ascii="Times New Roman" w:hAnsi="Times New Roman" w:cs="Times New Roman"/>
          <w:b/>
          <w:bCs/>
          <w:sz w:val="24"/>
          <w:szCs w:val="24"/>
        </w:rPr>
        <w:t>Subjective Data</w:t>
      </w:r>
    </w:p>
    <w:p w:rsidR="00747D53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Chief Complaint:</w:t>
      </w:r>
      <w:r w:rsidRPr="00D55EBB">
        <w:rPr>
          <w:rFonts w:ascii="Times New Roman" w:hAnsi="Times New Roman" w:cs="Times New Roman"/>
          <w:sz w:val="24"/>
          <w:szCs w:val="24"/>
        </w:rPr>
        <w:t xml:space="preserve"> </w:t>
      </w:r>
      <w:r w:rsidRPr="00D55EBB" w:rsidR="00180A9F">
        <w:rPr>
          <w:rFonts w:ascii="Times New Roman" w:hAnsi="Times New Roman" w:cs="Times New Roman"/>
          <w:sz w:val="24"/>
          <w:szCs w:val="24"/>
        </w:rPr>
        <w:t>The client reported to the clinic complaining of experiencing l</w:t>
      </w:r>
      <w:r w:rsidRPr="00D55EBB" w:rsidR="00183A51">
        <w:rPr>
          <w:rFonts w:ascii="Times New Roman" w:hAnsi="Times New Roman" w:cs="Times New Roman"/>
          <w:sz w:val="24"/>
          <w:szCs w:val="24"/>
        </w:rPr>
        <w:t>ower</w:t>
      </w:r>
      <w:r w:rsidRPr="00D55EBB" w:rsidR="00180A9F">
        <w:rPr>
          <w:rFonts w:ascii="Times New Roman" w:hAnsi="Times New Roman" w:cs="Times New Roman"/>
          <w:sz w:val="24"/>
          <w:szCs w:val="24"/>
        </w:rPr>
        <w:t xml:space="preserve"> back pain that radiates to </w:t>
      </w:r>
      <w:r w:rsidRPr="00D55EBB" w:rsidR="00183A51">
        <w:rPr>
          <w:rFonts w:ascii="Times New Roman" w:hAnsi="Times New Roman" w:cs="Times New Roman"/>
          <w:sz w:val="24"/>
          <w:szCs w:val="24"/>
        </w:rPr>
        <w:t>the left limb for the past month.</w:t>
      </w:r>
    </w:p>
    <w:p w:rsidR="00D1171D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HPI:</w:t>
      </w:r>
      <w:r w:rsidRPr="00D55EBB">
        <w:rPr>
          <w:rFonts w:ascii="Times New Roman" w:hAnsi="Times New Roman" w:cs="Times New Roman"/>
          <w:sz w:val="24"/>
          <w:szCs w:val="24"/>
        </w:rPr>
        <w:t xml:space="preserve"> </w:t>
      </w:r>
      <w:r w:rsidRPr="00D55EBB" w:rsidR="00E603EA">
        <w:rPr>
          <w:rFonts w:ascii="Times New Roman" w:hAnsi="Times New Roman" w:cs="Times New Roman"/>
          <w:sz w:val="24"/>
          <w:szCs w:val="24"/>
        </w:rPr>
        <w:t xml:space="preserve">The client is a </w:t>
      </w:r>
      <w:r w:rsidRPr="00D55EBB" w:rsidR="00501422">
        <w:rPr>
          <w:rFonts w:ascii="Times New Roman" w:hAnsi="Times New Roman" w:cs="Times New Roman"/>
          <w:sz w:val="24"/>
          <w:szCs w:val="24"/>
        </w:rPr>
        <w:t>42-year-old</w:t>
      </w:r>
      <w:r w:rsidRPr="00D55EBB" w:rsidR="00E603EA">
        <w:rPr>
          <w:rFonts w:ascii="Times New Roman" w:hAnsi="Times New Roman" w:cs="Times New Roman"/>
          <w:sz w:val="24"/>
          <w:szCs w:val="24"/>
        </w:rPr>
        <w:t xml:space="preserve"> male who reported he has been experiencing pain for the past one month radiating to his left leg. </w:t>
      </w:r>
      <w:r w:rsidRPr="00D55EBB" w:rsidR="00501422">
        <w:rPr>
          <w:rFonts w:ascii="Times New Roman" w:hAnsi="Times New Roman" w:cs="Times New Roman"/>
          <w:sz w:val="24"/>
          <w:szCs w:val="24"/>
        </w:rPr>
        <w:t xml:space="preserve">The lumbar spine supports the upper body by allowing </w:t>
      </w:r>
      <w:r w:rsidRPr="00D55EBB" w:rsidR="007A33C3">
        <w:rPr>
          <w:rFonts w:ascii="Times New Roman" w:hAnsi="Times New Roman" w:cs="Times New Roman"/>
          <w:sz w:val="24"/>
          <w:szCs w:val="24"/>
        </w:rPr>
        <w:t>the absorption</w:t>
      </w:r>
      <w:r w:rsidRPr="00D55EBB" w:rsidR="00501422">
        <w:rPr>
          <w:rFonts w:ascii="Times New Roman" w:hAnsi="Times New Roman" w:cs="Times New Roman"/>
          <w:sz w:val="24"/>
          <w:szCs w:val="24"/>
        </w:rPr>
        <w:t xml:space="preserve"> of axial forces delivered to the head, neck, and trunk</w:t>
      </w:r>
      <w:r w:rsidRPr="00D55EBB" w:rsidR="006C1C21">
        <w:rPr>
          <w:rFonts w:ascii="Times New Roman" w:hAnsi="Times New Roman" w:cs="Times New Roman"/>
          <w:sz w:val="24"/>
          <w:szCs w:val="24"/>
        </w:rPr>
        <w:t>. As well, it</w:t>
      </w:r>
      <w:r w:rsidRPr="00D55EBB" w:rsidR="007A33C3">
        <w:rPr>
          <w:rFonts w:ascii="Times New Roman" w:hAnsi="Times New Roman" w:cs="Times New Roman"/>
          <w:sz w:val="24"/>
          <w:szCs w:val="24"/>
        </w:rPr>
        <w:t xml:space="preserve"> allows varying t</w:t>
      </w:r>
      <w:r w:rsidRPr="00D55EBB" w:rsidR="00E66DEB">
        <w:rPr>
          <w:rFonts w:ascii="Times New Roman" w:hAnsi="Times New Roman" w:cs="Times New Roman"/>
          <w:sz w:val="24"/>
          <w:szCs w:val="24"/>
        </w:rPr>
        <w:t>r</w:t>
      </w:r>
      <w:r w:rsidRPr="00D55EBB" w:rsidR="007A33C3">
        <w:rPr>
          <w:rFonts w:ascii="Times New Roman" w:hAnsi="Times New Roman" w:cs="Times New Roman"/>
          <w:sz w:val="24"/>
          <w:szCs w:val="24"/>
        </w:rPr>
        <w:t>uncal function</w:t>
      </w:r>
      <w:r w:rsidRPr="00D55EBB" w:rsidR="00E66DEB">
        <w:rPr>
          <w:rFonts w:ascii="Times New Roman" w:hAnsi="Times New Roman" w:cs="Times New Roman"/>
          <w:sz w:val="24"/>
          <w:szCs w:val="24"/>
        </w:rPr>
        <w:t xml:space="preserve"> and</w:t>
      </w:r>
      <w:r w:rsidRPr="00D55EBB" w:rsidR="006C1C21">
        <w:rPr>
          <w:rFonts w:ascii="Times New Roman" w:hAnsi="Times New Roman" w:cs="Times New Roman"/>
          <w:sz w:val="24"/>
          <w:szCs w:val="24"/>
        </w:rPr>
        <w:t xml:space="preserve"> assists communication of information in the central nervous system to the lower and upper </w:t>
      </w:r>
      <w:r w:rsidRPr="00D55EBB" w:rsidR="007A33C3">
        <w:rPr>
          <w:rFonts w:ascii="Times New Roman" w:hAnsi="Times New Roman" w:cs="Times New Roman"/>
          <w:sz w:val="24"/>
          <w:szCs w:val="24"/>
        </w:rPr>
        <w:t>extremities</w:t>
      </w:r>
      <w:r w:rsidRPr="00D55EBB" w:rsidR="00E66DEB">
        <w:rPr>
          <w:rFonts w:ascii="Times New Roman" w:hAnsi="Times New Roman" w:cs="Times New Roman"/>
          <w:sz w:val="24"/>
          <w:szCs w:val="24"/>
        </w:rPr>
        <w:t xml:space="preserve"> including rotation, extension, side bending, and flexion (</w:t>
      </w:r>
      <w:r w:rsidRPr="00D55EBB" w:rsid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Silva &amp; </w:t>
      </w:r>
      <w:r w:rsidRPr="00D55EBB" w:rsid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Inumaru</w:t>
      </w:r>
      <w:r w:rsidRPr="00D55EBB" w:rsid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2015</w:t>
      </w:r>
      <w:r w:rsidRPr="00D55EBB" w:rsidR="00E66DEB">
        <w:rPr>
          <w:rFonts w:ascii="Times New Roman" w:hAnsi="Times New Roman" w:cs="Times New Roman"/>
          <w:sz w:val="24"/>
          <w:szCs w:val="24"/>
        </w:rPr>
        <w:t xml:space="preserve">). Based on the patient report, it is crucial to </w:t>
      </w:r>
      <w:r w:rsidRPr="00D55EBB" w:rsidR="00157497">
        <w:rPr>
          <w:rFonts w:ascii="Times New Roman" w:hAnsi="Times New Roman" w:cs="Times New Roman"/>
          <w:sz w:val="24"/>
          <w:szCs w:val="24"/>
        </w:rPr>
        <w:t xml:space="preserve">question the patient on </w:t>
      </w:r>
      <w:r w:rsidRPr="00D55EBB" w:rsidR="00B07549">
        <w:rPr>
          <w:rFonts w:ascii="Times New Roman" w:hAnsi="Times New Roman" w:cs="Times New Roman"/>
          <w:sz w:val="24"/>
          <w:szCs w:val="24"/>
        </w:rPr>
        <w:t xml:space="preserve">his experiences associated with the symptoms including numbness, fatigue, tingling, and issues related to bowel or bladder. More importantly, it would be prudent to </w:t>
      </w:r>
      <w:r w:rsidRPr="00D55EBB" w:rsidR="00072916">
        <w:rPr>
          <w:rFonts w:ascii="Times New Roman" w:hAnsi="Times New Roman" w:cs="Times New Roman"/>
          <w:sz w:val="24"/>
          <w:szCs w:val="24"/>
        </w:rPr>
        <w:t xml:space="preserve">examine the severity and quality of pain on the pain scale (1-10) such as </w:t>
      </w:r>
      <w:r w:rsidRPr="00D55EBB" w:rsidR="00A21F76">
        <w:rPr>
          <w:rFonts w:ascii="Times New Roman" w:hAnsi="Times New Roman" w:cs="Times New Roman"/>
          <w:sz w:val="24"/>
          <w:szCs w:val="24"/>
        </w:rPr>
        <w:t>dull or sharpness, remitting, or presenting time of pain. As well, requesting information related to exacerbation or aggravating factors such as motion</w:t>
      </w:r>
      <w:r w:rsidRPr="00D55EBB" w:rsidR="009D1589">
        <w:rPr>
          <w:rFonts w:ascii="Times New Roman" w:hAnsi="Times New Roman" w:cs="Times New Roman"/>
          <w:sz w:val="24"/>
          <w:szCs w:val="24"/>
        </w:rPr>
        <w:t xml:space="preserve"> and alleviating factors would help understand the nature of pain. </w:t>
      </w:r>
    </w:p>
    <w:p w:rsidR="009D1589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Medications</w:t>
      </w:r>
      <w:r w:rsidRPr="00D55EBB">
        <w:rPr>
          <w:rFonts w:ascii="Times New Roman" w:hAnsi="Times New Roman" w:cs="Times New Roman"/>
          <w:sz w:val="24"/>
          <w:szCs w:val="24"/>
        </w:rPr>
        <w:t>: Requesting information related to current medications</w:t>
      </w:r>
      <w:r w:rsidRPr="00D55EBB" w:rsidR="0087381D">
        <w:rPr>
          <w:rFonts w:ascii="Times New Roman" w:hAnsi="Times New Roman" w:cs="Times New Roman"/>
          <w:sz w:val="24"/>
          <w:szCs w:val="24"/>
        </w:rPr>
        <w:t xml:space="preserve"> such as intravenous drug use may augment the probability of </w:t>
      </w:r>
      <w:r w:rsidRPr="00D55EBB" w:rsidR="0087381D">
        <w:rPr>
          <w:rFonts w:ascii="Times New Roman" w:hAnsi="Times New Roman" w:cs="Times New Roman"/>
          <w:sz w:val="24"/>
          <w:szCs w:val="24"/>
        </w:rPr>
        <w:t>epidural abscess</w:t>
      </w:r>
      <w:r w:rsidRPr="00D55EBB" w:rsidR="0087381D">
        <w:rPr>
          <w:rFonts w:ascii="Times New Roman" w:hAnsi="Times New Roman" w:cs="Times New Roman"/>
          <w:sz w:val="24"/>
          <w:szCs w:val="24"/>
        </w:rPr>
        <w:t xml:space="preserve"> (</w:t>
      </w:r>
      <w:r w:rsidRPr="00D55EBB" w:rsidR="009E3F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Vakili</w:t>
      </w:r>
      <w:r w:rsidRPr="00D55EBB" w:rsidR="009E3F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55EBB" w:rsidR="009E3F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Crum-</w:t>
      </w:r>
      <w:r w:rsidRPr="00D55EBB" w:rsidR="009E3F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Cianflone</w:t>
      </w:r>
      <w:r w:rsidRPr="00D55EBB" w:rsidR="009E3F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Pr="00D55EBB" w:rsidR="0087381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00C6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 xml:space="preserve">Patient Medical History: </w:t>
      </w:r>
      <w:r w:rsidRPr="00D55EBB">
        <w:rPr>
          <w:rFonts w:ascii="Times New Roman" w:hAnsi="Times New Roman" w:cs="Times New Roman"/>
          <w:sz w:val="24"/>
          <w:szCs w:val="24"/>
        </w:rPr>
        <w:t>Inquiring information related to the patient's past medica</w:t>
      </w:r>
      <w:r w:rsidRPr="00D55EBB" w:rsidR="00CA6EE5">
        <w:rPr>
          <w:rFonts w:ascii="Times New Roman" w:hAnsi="Times New Roman" w:cs="Times New Roman"/>
          <w:sz w:val="24"/>
          <w:szCs w:val="24"/>
        </w:rPr>
        <w:t xml:space="preserve">l illness, recent injury, trauma, arthritis, spinal stenosis, or </w:t>
      </w:r>
      <w:r w:rsidRPr="00D55EBB" w:rsidR="00E07B81">
        <w:rPr>
          <w:rFonts w:ascii="Times New Roman" w:hAnsi="Times New Roman" w:cs="Times New Roman"/>
          <w:sz w:val="24"/>
          <w:szCs w:val="24"/>
        </w:rPr>
        <w:t xml:space="preserve">past back injury may help in developing a diagnosis. </w:t>
      </w:r>
    </w:p>
    <w:p w:rsidR="00E07B81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Family and Psychosocial History</w:t>
      </w:r>
      <w:r w:rsidRPr="00D55EBB">
        <w:rPr>
          <w:rFonts w:ascii="Times New Roman" w:hAnsi="Times New Roman" w:cs="Times New Roman"/>
          <w:sz w:val="24"/>
          <w:szCs w:val="24"/>
        </w:rPr>
        <w:t xml:space="preserve">: More importantly, </w:t>
      </w:r>
      <w:r w:rsidRPr="00D55EBB" w:rsidR="00870587">
        <w:rPr>
          <w:rFonts w:ascii="Times New Roman" w:hAnsi="Times New Roman" w:cs="Times New Roman"/>
          <w:sz w:val="24"/>
          <w:szCs w:val="24"/>
        </w:rPr>
        <w:t xml:space="preserve">requesting the history of the family on related to various health medications </w:t>
      </w:r>
      <w:r w:rsidRPr="00D55EBB" w:rsidR="005A54EE">
        <w:rPr>
          <w:rFonts w:ascii="Times New Roman" w:hAnsi="Times New Roman" w:cs="Times New Roman"/>
          <w:sz w:val="24"/>
          <w:szCs w:val="24"/>
        </w:rPr>
        <w:t xml:space="preserve">related to lower back pain </w:t>
      </w:r>
      <w:r w:rsidRPr="00D55EBB" w:rsidR="00870587">
        <w:rPr>
          <w:rFonts w:ascii="Times New Roman" w:hAnsi="Times New Roman" w:cs="Times New Roman"/>
          <w:sz w:val="24"/>
          <w:szCs w:val="24"/>
        </w:rPr>
        <w:t xml:space="preserve">such as arthritis, spinal stenosis, diabetes, cancer, and </w:t>
      </w:r>
      <w:r w:rsidRPr="00D55EBB" w:rsidR="005A54EE">
        <w:rPr>
          <w:rFonts w:ascii="Times New Roman" w:hAnsi="Times New Roman" w:cs="Times New Roman"/>
          <w:sz w:val="24"/>
          <w:szCs w:val="24"/>
        </w:rPr>
        <w:t>Ankylosing spondylitis</w:t>
      </w:r>
      <w:r w:rsidRPr="00D55EBB" w:rsidR="005A54EE">
        <w:rPr>
          <w:rFonts w:ascii="Times New Roman" w:hAnsi="Times New Roman" w:cs="Times New Roman"/>
          <w:sz w:val="24"/>
          <w:szCs w:val="24"/>
        </w:rPr>
        <w:t xml:space="preserve"> may increase the chance of a diagnosis of various </w:t>
      </w:r>
      <w:r w:rsidRPr="00D55EBB" w:rsidR="00B565EA">
        <w:rPr>
          <w:rFonts w:ascii="Times New Roman" w:hAnsi="Times New Roman" w:cs="Times New Roman"/>
          <w:sz w:val="24"/>
          <w:szCs w:val="24"/>
        </w:rPr>
        <w:t xml:space="preserve">conditions related to lower back pain. As well, it is inevitable to inquire about the client's </w:t>
      </w:r>
      <w:r w:rsidRPr="00D55EBB" w:rsidR="00A928F2">
        <w:rPr>
          <w:rFonts w:ascii="Times New Roman" w:hAnsi="Times New Roman" w:cs="Times New Roman"/>
          <w:sz w:val="24"/>
          <w:szCs w:val="24"/>
        </w:rPr>
        <w:t>nature of work</w:t>
      </w:r>
      <w:r w:rsidRPr="00D55EBB" w:rsidR="002447E4">
        <w:rPr>
          <w:rFonts w:ascii="Times New Roman" w:hAnsi="Times New Roman" w:cs="Times New Roman"/>
          <w:sz w:val="24"/>
          <w:szCs w:val="24"/>
        </w:rPr>
        <w:t xml:space="preserve">, physical </w:t>
      </w:r>
      <w:r w:rsidRPr="00D55EBB" w:rsidR="003A717C">
        <w:rPr>
          <w:rFonts w:ascii="Times New Roman" w:hAnsi="Times New Roman" w:cs="Times New Roman"/>
          <w:sz w:val="24"/>
          <w:szCs w:val="24"/>
        </w:rPr>
        <w:t>activity</w:t>
      </w:r>
      <w:r w:rsidRPr="00D55EBB" w:rsidR="00A928F2">
        <w:rPr>
          <w:rFonts w:ascii="Times New Roman" w:hAnsi="Times New Roman" w:cs="Times New Roman"/>
          <w:sz w:val="24"/>
          <w:szCs w:val="24"/>
        </w:rPr>
        <w:t xml:space="preserve">, or occupation either strenuous </w:t>
      </w:r>
      <w:r w:rsidRPr="00D55EBB" w:rsidR="00241BA9">
        <w:rPr>
          <w:rFonts w:ascii="Times New Roman" w:hAnsi="Times New Roman" w:cs="Times New Roman"/>
          <w:sz w:val="24"/>
          <w:szCs w:val="24"/>
        </w:rPr>
        <w:t xml:space="preserve">may increase the risk of developing back pain due to injury (Petersen et al., 2017). </w:t>
      </w:r>
    </w:p>
    <w:p w:rsidR="00241BA9" w:rsidRPr="00D55EBB" w:rsidP="00D55EB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Review of Systems</w:t>
      </w:r>
    </w:p>
    <w:p w:rsidR="00241BA9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sz w:val="24"/>
          <w:szCs w:val="24"/>
        </w:rPr>
        <w:t xml:space="preserve">Performing a focused examination of </w:t>
      </w:r>
      <w:r w:rsidRPr="00D55EBB" w:rsidR="00DD720C">
        <w:rPr>
          <w:rFonts w:ascii="Times New Roman" w:hAnsi="Times New Roman" w:cs="Times New Roman"/>
          <w:sz w:val="24"/>
          <w:szCs w:val="24"/>
        </w:rPr>
        <w:t xml:space="preserve">systematic review may help in ruling out various health conditions. Primarily, </w:t>
      </w:r>
      <w:r w:rsidRPr="00D55EBB" w:rsidR="00F37AE8">
        <w:rPr>
          <w:rFonts w:ascii="Times New Roman" w:hAnsi="Times New Roman" w:cs="Times New Roman"/>
          <w:sz w:val="24"/>
          <w:szCs w:val="24"/>
        </w:rPr>
        <w:t xml:space="preserve">it is imperative to ask the question if he is experiencing neurologic, lymphatic, </w:t>
      </w:r>
      <w:r w:rsidRPr="00D55EBB" w:rsidR="00C616D4">
        <w:rPr>
          <w:rFonts w:ascii="Times New Roman" w:hAnsi="Times New Roman" w:cs="Times New Roman"/>
          <w:sz w:val="24"/>
          <w:szCs w:val="24"/>
        </w:rPr>
        <w:t xml:space="preserve">urinary symptoms such as polyuria or nocturia or other gastrointestinal symptoms such as nausea or vomiting </w:t>
      </w:r>
      <w:r w:rsidRPr="00D55EBB" w:rsidR="00C02025">
        <w:rPr>
          <w:rFonts w:ascii="Times New Roman" w:hAnsi="Times New Roman" w:cs="Times New Roman"/>
          <w:sz w:val="24"/>
          <w:szCs w:val="24"/>
        </w:rPr>
        <w:t xml:space="preserve">or changes in general appearance including weight loss. </w:t>
      </w:r>
    </w:p>
    <w:p w:rsidR="00DC00C6" w:rsidRPr="00D55EBB" w:rsidP="00D55EB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Objective Data</w:t>
      </w:r>
    </w:p>
    <w:p w:rsidR="002447E4" w:rsidRPr="00D55EBB" w:rsidP="00D55EB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Physical Assessment</w:t>
      </w:r>
    </w:p>
    <w:p w:rsidR="00DC00C6" w:rsidRPr="00D55EBB" w:rsidP="00D55EBB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EBB">
        <w:rPr>
          <w:rFonts w:ascii="Times New Roman" w:hAnsi="Times New Roman" w:cs="Times New Roman"/>
          <w:sz w:val="24"/>
          <w:szCs w:val="24"/>
        </w:rPr>
        <w:t xml:space="preserve">Primarily, it is crucial to review and highlight the diagnostic value </w:t>
      </w:r>
      <w:r w:rsidRPr="00D55EBB" w:rsidR="001F4E66">
        <w:rPr>
          <w:rFonts w:ascii="Times New Roman" w:hAnsi="Times New Roman" w:cs="Times New Roman"/>
          <w:sz w:val="24"/>
          <w:szCs w:val="24"/>
        </w:rPr>
        <w:t xml:space="preserve">of signs and symptoms to rule out misleading labels suggestive of </w:t>
      </w:r>
      <w:r w:rsidRPr="00D55EBB" w:rsidR="00621301">
        <w:rPr>
          <w:rFonts w:ascii="Times New Roman" w:hAnsi="Times New Roman" w:cs="Times New Roman"/>
          <w:sz w:val="24"/>
          <w:szCs w:val="24"/>
        </w:rPr>
        <w:t>alleged</w:t>
      </w:r>
      <w:r w:rsidRPr="00D55EBB" w:rsidR="001F4E66">
        <w:rPr>
          <w:rFonts w:ascii="Times New Roman" w:hAnsi="Times New Roman" w:cs="Times New Roman"/>
          <w:sz w:val="24"/>
          <w:szCs w:val="24"/>
        </w:rPr>
        <w:t xml:space="preserve"> </w:t>
      </w:r>
      <w:r w:rsidRPr="00D55EBB" w:rsidR="00621301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D55EBB" w:rsidR="00621301">
        <w:rPr>
          <w:rFonts w:ascii="Times New Roman" w:hAnsi="Times New Roman" w:cs="Times New Roman"/>
          <w:sz w:val="24"/>
          <w:szCs w:val="24"/>
        </w:rPr>
        <w:t>patho</w:t>
      </w:r>
      <w:r w:rsidRPr="00D55EBB" w:rsidR="00621301">
        <w:rPr>
          <w:rFonts w:ascii="Times New Roman" w:hAnsi="Times New Roman" w:cs="Times New Roman"/>
          <w:sz w:val="24"/>
          <w:szCs w:val="24"/>
        </w:rPr>
        <w:t>-anatomy. This implies that it is crucial to identify various symptoms</w:t>
      </w:r>
      <w:r w:rsidRPr="00D55EBB" w:rsidR="004B03B1">
        <w:rPr>
          <w:rFonts w:ascii="Times New Roman" w:hAnsi="Times New Roman" w:cs="Times New Roman"/>
          <w:sz w:val="24"/>
          <w:szCs w:val="24"/>
        </w:rPr>
        <w:t xml:space="preserve"> sources or causes</w:t>
      </w:r>
      <w:r w:rsidRPr="00D55EBB" w:rsidR="007D72C0">
        <w:rPr>
          <w:rFonts w:ascii="Times New Roman" w:hAnsi="Times New Roman" w:cs="Times New Roman"/>
          <w:sz w:val="24"/>
          <w:szCs w:val="24"/>
        </w:rPr>
        <w:t xml:space="preserve"> of lower back pain</w:t>
      </w:r>
      <w:r w:rsidRPr="00D55EBB" w:rsidR="004B03B1">
        <w:rPr>
          <w:rFonts w:ascii="Times New Roman" w:hAnsi="Times New Roman" w:cs="Times New Roman"/>
          <w:sz w:val="24"/>
          <w:szCs w:val="24"/>
        </w:rPr>
        <w:t xml:space="preserve"> including peripheral nerve tissue, sensitization of central nervous systems, nerve roots, bones, </w:t>
      </w:r>
      <w:r w:rsidRPr="00D55EBB" w:rsidR="00F47779">
        <w:rPr>
          <w:rFonts w:ascii="Times New Roman" w:hAnsi="Times New Roman" w:cs="Times New Roman"/>
          <w:sz w:val="24"/>
          <w:szCs w:val="24"/>
        </w:rPr>
        <w:t>intervertebral discs sacroiliac, and facet joints (</w:t>
      </w:r>
      <w:r w:rsidRPr="00D55EBB" w:rsidR="003A71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Petersen</w:t>
      </w:r>
      <w:r w:rsidRPr="00D55EBB" w:rsidR="003A71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2017</w:t>
      </w:r>
      <w:r w:rsidRPr="00D55EBB" w:rsidR="00F47779">
        <w:rPr>
          <w:rFonts w:ascii="Times New Roman" w:hAnsi="Times New Roman" w:cs="Times New Roman"/>
          <w:sz w:val="24"/>
          <w:szCs w:val="24"/>
        </w:rPr>
        <w:t xml:space="preserve">). </w:t>
      </w:r>
      <w:r w:rsidRPr="00D55EBB" w:rsidR="00343891">
        <w:rPr>
          <w:rFonts w:ascii="Times New Roman" w:hAnsi="Times New Roman" w:cs="Times New Roman"/>
          <w:sz w:val="24"/>
          <w:szCs w:val="24"/>
        </w:rPr>
        <w:t xml:space="preserve">As such, the Clinical Diagnostic Rule (CDR) will be used to make clinical </w:t>
      </w:r>
      <w:r w:rsidRPr="00D55EBB" w:rsidR="007626A0">
        <w:rPr>
          <w:rFonts w:ascii="Times New Roman" w:hAnsi="Times New Roman" w:cs="Times New Roman"/>
          <w:sz w:val="24"/>
          <w:szCs w:val="24"/>
        </w:rPr>
        <w:t xml:space="preserve">decisions in clinical diagnosis quantifying various elements of history, physical examination, and </w:t>
      </w:r>
      <w:r w:rsidRPr="00D55EBB" w:rsidR="008043A9">
        <w:rPr>
          <w:rFonts w:ascii="Times New Roman" w:hAnsi="Times New Roman" w:cs="Times New Roman"/>
          <w:sz w:val="24"/>
          <w:szCs w:val="24"/>
        </w:rPr>
        <w:t>elementary</w:t>
      </w:r>
      <w:r w:rsidRPr="00D55EBB" w:rsidR="007626A0">
        <w:rPr>
          <w:rFonts w:ascii="Times New Roman" w:hAnsi="Times New Roman" w:cs="Times New Roman"/>
          <w:sz w:val="24"/>
          <w:szCs w:val="24"/>
        </w:rPr>
        <w:t xml:space="preserve"> laboratory results related to </w:t>
      </w:r>
      <w:r w:rsidRPr="00D55EBB" w:rsidR="007D72C0">
        <w:rPr>
          <w:rFonts w:ascii="Times New Roman" w:hAnsi="Times New Roman" w:cs="Times New Roman"/>
          <w:sz w:val="24"/>
          <w:szCs w:val="24"/>
        </w:rPr>
        <w:t xml:space="preserve">diagnosis, prognosis. </w:t>
      </w:r>
      <w:r w:rsidRPr="00D55EBB" w:rsidR="008043A9">
        <w:rPr>
          <w:rFonts w:ascii="Times New Roman" w:hAnsi="Times New Roman" w:cs="Times New Roman"/>
          <w:sz w:val="24"/>
          <w:szCs w:val="24"/>
        </w:rPr>
        <w:t>As such, t</w:t>
      </w:r>
      <w:r w:rsidRPr="00D55EBB" w:rsidR="008043A9">
        <w:rPr>
          <w:rFonts w:ascii="Times New Roman" w:hAnsi="Times New Roman" w:cs="Times New Roman"/>
          <w:sz w:val="24"/>
          <w:szCs w:val="24"/>
        </w:rPr>
        <w:t>he</w:t>
      </w:r>
      <w:r w:rsidRPr="00D55EBB" w:rsidR="008043A9">
        <w:rPr>
          <w:rFonts w:ascii="Times New Roman" w:hAnsi="Times New Roman" w:cs="Times New Roman"/>
          <w:sz w:val="24"/>
          <w:szCs w:val="24"/>
        </w:rPr>
        <w:t xml:space="preserve"> </w:t>
      </w:r>
      <w:r w:rsidRPr="00D55EBB" w:rsidR="008043A9">
        <w:rPr>
          <w:rFonts w:ascii="Times New Roman" w:hAnsi="Times New Roman" w:cs="Times New Roman"/>
          <w:sz w:val="24"/>
          <w:szCs w:val="24"/>
        </w:rPr>
        <w:t>Isostreching</w:t>
      </w:r>
      <w:r w:rsidRPr="00D55EBB" w:rsidR="008043A9">
        <w:rPr>
          <w:rFonts w:ascii="Times New Roman" w:hAnsi="Times New Roman" w:cs="Times New Roman"/>
          <w:sz w:val="24"/>
          <w:szCs w:val="24"/>
        </w:rPr>
        <w:t xml:space="preserve"> exercise</w:t>
      </w:r>
      <w:r w:rsidRPr="00D55EBB" w:rsidR="008043A9">
        <w:rPr>
          <w:rFonts w:ascii="Times New Roman" w:hAnsi="Times New Roman" w:cs="Times New Roman"/>
          <w:sz w:val="24"/>
          <w:szCs w:val="24"/>
        </w:rPr>
        <w:t xml:space="preserve">s can be </w:t>
      </w:r>
      <w:r w:rsidRPr="00D55EBB" w:rsidR="00980D62">
        <w:rPr>
          <w:rFonts w:ascii="Times New Roman" w:hAnsi="Times New Roman" w:cs="Times New Roman"/>
          <w:sz w:val="24"/>
          <w:szCs w:val="24"/>
        </w:rPr>
        <w:t>used</w:t>
      </w:r>
      <w:r w:rsidRPr="00D55EBB" w:rsidR="008043A9">
        <w:rPr>
          <w:rFonts w:ascii="Times New Roman" w:hAnsi="Times New Roman" w:cs="Times New Roman"/>
          <w:sz w:val="24"/>
          <w:szCs w:val="24"/>
        </w:rPr>
        <w:t xml:space="preserve"> in clinical practice </w:t>
      </w:r>
      <w:r w:rsidRPr="00D55EBB" w:rsidR="006651B8">
        <w:rPr>
          <w:rFonts w:ascii="Times New Roman" w:hAnsi="Times New Roman" w:cs="Times New Roman"/>
          <w:sz w:val="24"/>
          <w:szCs w:val="24"/>
        </w:rPr>
        <w:t xml:space="preserve">to examine </w:t>
      </w:r>
      <w:r w:rsidRPr="00D55EBB" w:rsidR="00CB630A">
        <w:rPr>
          <w:rFonts w:ascii="Times New Roman" w:hAnsi="Times New Roman" w:cs="Times New Roman"/>
          <w:sz w:val="24"/>
          <w:szCs w:val="24"/>
        </w:rPr>
        <w:t xml:space="preserve">client’s condition </w:t>
      </w:r>
      <w:r w:rsidRPr="00D55EBB" w:rsidR="006651B8">
        <w:rPr>
          <w:rFonts w:ascii="Times New Roman" w:hAnsi="Times New Roman" w:cs="Times New Roman"/>
          <w:sz w:val="24"/>
          <w:szCs w:val="24"/>
        </w:rPr>
        <w:t>relate</w:t>
      </w:r>
      <w:r w:rsidRPr="00D55EBB" w:rsidR="00CB630A">
        <w:rPr>
          <w:rFonts w:ascii="Times New Roman" w:hAnsi="Times New Roman" w:cs="Times New Roman"/>
          <w:sz w:val="24"/>
          <w:szCs w:val="24"/>
        </w:rPr>
        <w:t>d</w:t>
      </w:r>
      <w:r w:rsidRPr="00D55EBB" w:rsidR="006651B8">
        <w:rPr>
          <w:rFonts w:ascii="Times New Roman" w:hAnsi="Times New Roman" w:cs="Times New Roman"/>
          <w:sz w:val="24"/>
          <w:szCs w:val="24"/>
        </w:rPr>
        <w:t xml:space="preserve"> to posture</w:t>
      </w:r>
      <w:r w:rsidRPr="00D55EBB" w:rsidR="00CB630A">
        <w:rPr>
          <w:rFonts w:ascii="Times New Roman" w:hAnsi="Times New Roman" w:cs="Times New Roman"/>
          <w:sz w:val="24"/>
          <w:szCs w:val="24"/>
        </w:rPr>
        <w:t xml:space="preserve"> by </w:t>
      </w:r>
      <w:r w:rsidRPr="00D55EBB" w:rsidR="006651B8">
        <w:rPr>
          <w:rFonts w:ascii="Times New Roman" w:hAnsi="Times New Roman" w:cs="Times New Roman"/>
          <w:sz w:val="24"/>
          <w:szCs w:val="24"/>
        </w:rPr>
        <w:t>evaluat</w:t>
      </w:r>
      <w:r w:rsidRPr="00D55EBB" w:rsidR="00CB630A">
        <w:rPr>
          <w:rFonts w:ascii="Times New Roman" w:hAnsi="Times New Roman" w:cs="Times New Roman"/>
          <w:sz w:val="24"/>
          <w:szCs w:val="24"/>
        </w:rPr>
        <w:t>ing</w:t>
      </w:r>
      <w:r w:rsidRPr="00D55EBB" w:rsidR="006651B8">
        <w:rPr>
          <w:rFonts w:ascii="Times New Roman" w:hAnsi="Times New Roman" w:cs="Times New Roman"/>
          <w:sz w:val="24"/>
          <w:szCs w:val="24"/>
        </w:rPr>
        <w:t xml:space="preserve"> the alignment of the vert</w:t>
      </w:r>
      <w:r w:rsidRPr="00D55EBB" w:rsidR="00924023">
        <w:rPr>
          <w:rFonts w:ascii="Times New Roman" w:hAnsi="Times New Roman" w:cs="Times New Roman"/>
          <w:sz w:val="24"/>
          <w:szCs w:val="24"/>
        </w:rPr>
        <w:t>ebral column,</w:t>
      </w:r>
      <w:r w:rsidRPr="00D55EBB" w:rsidR="00CB630A">
        <w:rPr>
          <w:rFonts w:ascii="Times New Roman" w:hAnsi="Times New Roman" w:cs="Times New Roman"/>
          <w:sz w:val="24"/>
          <w:szCs w:val="24"/>
        </w:rPr>
        <w:t xml:space="preserve"> understand</w:t>
      </w:r>
      <w:r w:rsidRPr="00D55EBB" w:rsidR="002540C9">
        <w:rPr>
          <w:rFonts w:ascii="Times New Roman" w:hAnsi="Times New Roman" w:cs="Times New Roman"/>
          <w:sz w:val="24"/>
          <w:szCs w:val="24"/>
        </w:rPr>
        <w:t xml:space="preserve"> alteration of vertebral curvatures,</w:t>
      </w:r>
      <w:r w:rsidRPr="00D55EBB" w:rsidR="00924023">
        <w:rPr>
          <w:rFonts w:ascii="Times New Roman" w:hAnsi="Times New Roman" w:cs="Times New Roman"/>
          <w:sz w:val="24"/>
          <w:szCs w:val="24"/>
        </w:rPr>
        <w:t xml:space="preserve"> body awareness exercises</w:t>
      </w:r>
      <w:r w:rsidRPr="00D55EBB" w:rsidR="00E80311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D55EBB" w:rsidR="00E80311">
        <w:rPr>
          <w:rFonts w:ascii="Times New Roman" w:hAnsi="Times New Roman" w:cs="Times New Roman"/>
          <w:sz w:val="24"/>
          <w:szCs w:val="24"/>
        </w:rPr>
        <w:t>anteversion and retroversion movements</w:t>
      </w:r>
      <w:r w:rsidRPr="00D55EBB" w:rsidR="00E80311">
        <w:rPr>
          <w:rFonts w:ascii="Times New Roman" w:hAnsi="Times New Roman" w:cs="Times New Roman"/>
          <w:sz w:val="24"/>
          <w:szCs w:val="24"/>
        </w:rPr>
        <w:t xml:space="preserve"> </w:t>
      </w:r>
      <w:r w:rsidRPr="00D55EBB" w:rsidR="002540C9">
        <w:rPr>
          <w:rFonts w:ascii="Times New Roman" w:hAnsi="Times New Roman" w:cs="Times New Roman"/>
          <w:sz w:val="24"/>
          <w:szCs w:val="24"/>
        </w:rPr>
        <w:t xml:space="preserve">and perform </w:t>
      </w:r>
      <w:r w:rsidRPr="00D55EBB" w:rsidR="002540C9">
        <w:rPr>
          <w:rFonts w:ascii="Times New Roman" w:hAnsi="Times New Roman" w:cs="Times New Roman"/>
          <w:sz w:val="24"/>
          <w:szCs w:val="24"/>
        </w:rPr>
        <w:t>diaphragmatic and prolonged breathing and self-stretching</w:t>
      </w:r>
      <w:r w:rsidRPr="00D55EBB" w:rsidR="00705C28">
        <w:rPr>
          <w:rFonts w:ascii="Times New Roman" w:hAnsi="Times New Roman" w:cs="Times New Roman"/>
          <w:sz w:val="24"/>
          <w:szCs w:val="24"/>
        </w:rPr>
        <w:t xml:space="preserve"> (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Silva 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Inumaru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2015</w:t>
      </w:r>
      <w:r w:rsidRPr="00D55EBB" w:rsidR="00705C28">
        <w:rPr>
          <w:rFonts w:ascii="Times New Roman" w:hAnsi="Times New Roman" w:cs="Times New Roman"/>
          <w:sz w:val="24"/>
          <w:szCs w:val="24"/>
        </w:rPr>
        <w:t>)</w:t>
      </w:r>
      <w:r w:rsidRPr="00D55EBB" w:rsidR="002540C9">
        <w:rPr>
          <w:rFonts w:ascii="Times New Roman" w:hAnsi="Times New Roman" w:cs="Times New Roman"/>
          <w:sz w:val="24"/>
          <w:szCs w:val="24"/>
        </w:rPr>
        <w:t xml:space="preserve">. </w:t>
      </w:r>
      <w:r w:rsidRPr="00D55EBB" w:rsidR="00CC6357">
        <w:rPr>
          <w:rFonts w:ascii="Times New Roman" w:hAnsi="Times New Roman" w:cs="Times New Roman"/>
          <w:sz w:val="24"/>
          <w:szCs w:val="24"/>
        </w:rPr>
        <w:t>Following the guidelines will evaluate nine symmetrical postures</w:t>
      </w:r>
      <w:r w:rsidRPr="00D55EBB" w:rsidR="00105D9B">
        <w:rPr>
          <w:rFonts w:ascii="Times New Roman" w:hAnsi="Times New Roman" w:cs="Times New Roman"/>
          <w:sz w:val="24"/>
          <w:szCs w:val="24"/>
        </w:rPr>
        <w:t xml:space="preserve"> in four dorsal decubitus postures, two sated postures, and three postures related to the </w:t>
      </w:r>
      <w:r w:rsidRPr="00D55EBB" w:rsidR="00105D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orthostatic position</w:t>
      </w:r>
      <w:r w:rsidRPr="00D55EBB" w:rsidR="00705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The mentioned </w:t>
      </w:r>
      <w:r w:rsidRPr="00D55EBB" w:rsidR="00705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postures will focus on respiratory chains, </w:t>
      </w:r>
      <w:r w:rsidRPr="00D55EBB" w:rsidR="005128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main posterior position, and hip anterointernal positions to examine by weakness or muscle shortening </w:t>
      </w:r>
      <w:r w:rsidRPr="00D55EBB" w:rsidR="00ED2C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Silva &amp; 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Inumaru</w:t>
      </w:r>
      <w:r w:rsidRPr="00D55EBB" w:rsidR="00ED2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2015</w:t>
      </w:r>
      <w:r w:rsidRPr="00D55EBB" w:rsidR="00ED2C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D55EBB" w:rsidR="0034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D55EBB" w:rsidR="0034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Isostreching</w:t>
      </w:r>
      <w:r w:rsidRPr="00D55EBB" w:rsidR="0034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method</w:t>
      </w:r>
      <w:r w:rsidRPr="00D55EBB" w:rsidR="0034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helps in evaluating </w:t>
      </w:r>
      <w:r w:rsidRPr="00D55EBB" w:rsidR="00EB3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muscle strength, </w:t>
      </w:r>
      <w:r w:rsidRPr="00D55EBB" w:rsidR="009E1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muscle retraction, and weakness </w:t>
      </w:r>
      <w:r w:rsidRPr="00D55EBB" w:rsidR="00EB3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flexibility, and postural control limiting lumbar </w:t>
      </w:r>
      <w:r w:rsidRPr="00D55EBB" w:rsidR="009E11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spine range of movement. </w:t>
      </w:r>
    </w:p>
    <w:p w:rsidR="00486C47" w:rsidRPr="00D55EBB" w:rsidP="00D55EBB">
      <w:pPr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55E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Diagnostic Tests </w:t>
      </w:r>
    </w:p>
    <w:p w:rsidR="00682CCC" w:rsidRPr="00D55EBB" w:rsidP="00D55EBB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of the diagnostic test</w:t>
      </w:r>
      <w:r w:rsidRPr="00D55EBB" w:rsidR="00E46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can be used in the examination of pain intensity includes t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visual analog scale (VAS)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while the 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Oswestry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disability questionnaire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 be used in identifying </w:t>
      </w:r>
      <w:r w:rsidRPr="00D55EBB" w:rsidR="0034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impact of pain on the daily and professional activities of the patient (</w:t>
      </w:r>
      <w:r w:rsidRPr="00D55EBB" w:rsidR="00346E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Silva &amp; </w:t>
      </w:r>
      <w:r w:rsidRPr="00D55EBB" w:rsidR="00346E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Inumaru</w:t>
      </w:r>
      <w:r w:rsidRPr="00D55EBB" w:rsidR="00346E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2015</w:t>
      </w:r>
      <w:r w:rsidRPr="00D55EBB" w:rsidR="00346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D55EBB" w:rsidR="00873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D55EBB" w:rsidR="00873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Agency for Healthcare Research and Quality (AHRQ)</w:t>
      </w:r>
      <w:r w:rsidRPr="00D55EBB" w:rsidR="00873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does not endorse typical </w:t>
      </w:r>
      <w:r w:rsidRPr="00D55EBB" w:rsidR="00A60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assessments involving laboratory tests unless there is a presence of malignancy or infection</w:t>
      </w:r>
      <w:r w:rsidRPr="00D55EBB" w:rsidR="00C47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commonly known as red flags</w:t>
      </w:r>
      <w:r w:rsidRPr="00D55EBB" w:rsidR="00A60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D55EBB" w:rsidR="00736E54">
        <w:rPr>
          <w:rFonts w:ascii="Times New Roman" w:hAnsi="Times New Roman" w:cs="Times New Roman"/>
          <w:sz w:val="24"/>
          <w:szCs w:val="24"/>
        </w:rPr>
        <w:t>Chou et al., 2017</w:t>
      </w:r>
      <w:r w:rsidRPr="00D55EBB" w:rsidR="00A609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D55EBB" w:rsidR="00C47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AHRQ does not recommend imaging </w:t>
      </w:r>
      <w:r w:rsidRPr="00D55EBB" w:rsidR="005A6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lower back pain for the first six weeks 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 if</w:t>
      </w:r>
      <w:r w:rsidRPr="00D55EBB" w:rsidR="005A6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there is the presence of trauma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patients beyond 50 years</w:t>
      </w:r>
      <w:r w:rsidRPr="00D55EBB" w:rsidR="005A6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immunosuppression, </w:t>
      </w:r>
      <w:r w:rsidRPr="00D55EBB" w:rsidR="00076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diagnosis of cancer, use of corticosteroids or IVs, or focal neurologic deficiency</w:t>
      </w:r>
      <w:r w:rsidRPr="00D55EBB" w:rsidR="002D5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progression in the patient above 70 years (</w:t>
      </w:r>
      <w:r w:rsidRPr="00D55EBB" w:rsidR="00486C47">
        <w:rPr>
          <w:rFonts w:ascii="Times New Roman" w:hAnsi="Times New Roman" w:cs="Times New Roman"/>
          <w:sz w:val="24"/>
          <w:szCs w:val="24"/>
        </w:rPr>
        <w:t>Chou</w:t>
      </w:r>
      <w:r w:rsidRPr="00D55EBB" w:rsidR="00486C47">
        <w:rPr>
          <w:rFonts w:ascii="Times New Roman" w:hAnsi="Times New Roman" w:cs="Times New Roman"/>
          <w:sz w:val="24"/>
          <w:szCs w:val="24"/>
        </w:rPr>
        <w:t xml:space="preserve"> et al., 2017</w:t>
      </w:r>
      <w:r w:rsidRPr="00D55EBB" w:rsidR="002D5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More importantly, diagnostic tests such as radiography, MRI, and CT s</w:t>
      </w:r>
      <w:r w:rsidRPr="00D55EBB" w:rsidR="00ED3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can as well as lateral and standing spine view are recommended in patients with persistent symptoms lasting more than </w:t>
      </w:r>
      <w:r w:rsidRPr="00D55EBB" w:rsidR="0048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six to eight weeks to assist reveal the cause of pain (</w:t>
      </w:r>
      <w:r w:rsidRPr="00D55EBB" w:rsidR="00736E54">
        <w:rPr>
          <w:rFonts w:ascii="Times New Roman" w:hAnsi="Times New Roman" w:cs="Times New Roman"/>
          <w:sz w:val="24"/>
          <w:szCs w:val="24"/>
        </w:rPr>
        <w:t>Chou et al., 2017</w:t>
      </w:r>
      <w:r w:rsidRPr="00D55EBB" w:rsidR="00486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682CCC" w:rsidRPr="00D55EBB" w:rsidP="00D55EBB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55E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Differential Diagnosis</w:t>
      </w:r>
    </w:p>
    <w:p w:rsidR="00682CCC" w:rsidRPr="00D55EBB" w:rsidP="00D55EB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E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Pr="00D55EBB" w:rsidR="00EA1ED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ciatica:</w:t>
      </w:r>
      <w:r w:rsidRPr="00D55EBB" w:rsidR="00EA1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is a common condition in primary care characterized by </w:t>
      </w:r>
      <w:r w:rsidRPr="00D55EBB" w:rsidR="00943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radiating pain in the leg. The condition is diagnoses b</w:t>
      </w:r>
      <w:r w:rsidRPr="00D55EBB" w:rsidR="00856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Pr="00D55EBB" w:rsidR="00943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55EBB" w:rsidR="00856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taking </w:t>
      </w:r>
      <w:r w:rsidRPr="00D55EBB" w:rsidR="00943F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history and physical examination evidenced by the distribution of pain </w:t>
      </w:r>
      <w:r w:rsidRPr="00D55EBB" w:rsidR="00856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 radiates following a dermatomal pattern</w:t>
      </w:r>
      <w:r w:rsidRPr="00D55EBB" w:rsidR="00AE4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D55EBB" w:rsidR="00DF5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Berthelot et al., 2020</w:t>
      </w:r>
      <w:r w:rsidRPr="00D55EBB" w:rsidR="00AE4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5EBB" w:rsidR="008562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patient also reports sensory symptoms</w:t>
      </w:r>
      <w:r w:rsidRPr="00D55EBB" w:rsidR="00E6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However, physical examination and </w:t>
      </w:r>
      <w:r w:rsidRPr="00D55EBB" w:rsidR="00301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history taking do not confirm the diagnosis of sciatica. The straight leg raising test or </w:t>
      </w:r>
      <w:r w:rsidRPr="00D55EBB" w:rsidR="00301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Lasègue's</w:t>
      </w:r>
      <w:r w:rsidRPr="00D55EBB" w:rsidR="00301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sign</w:t>
      </w:r>
      <w:r w:rsidRPr="00D55EBB" w:rsidR="00301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used to examine </w:t>
      </w:r>
      <w:r w:rsidRPr="00D55EBB" w:rsidR="00833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condition. A </w:t>
      </w:r>
      <w:r w:rsidRPr="00D55EBB" w:rsidR="00833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typical radiating pain in one leg combined with positive findings </w:t>
      </w:r>
      <w:r w:rsidRPr="00D55EBB" w:rsidR="00AE4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one or more neurological deficiency justifies the diagnosis of sciatica (</w:t>
      </w:r>
      <w:r w:rsidRPr="00D55EBB" w:rsidR="00DF5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Berthelot</w:t>
      </w:r>
      <w:r w:rsidRPr="00D55EBB" w:rsidR="00DF5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Pr="00D55EBB" w:rsidR="00AE4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The presented client meets the diagnosis of sciatica </w:t>
      </w:r>
      <w:r w:rsidRPr="00D55EBB" w:rsidR="00DF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characterized</w:t>
      </w:r>
      <w:r w:rsidRPr="00D55EBB" w:rsidR="00AE48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radiating severe pain in one leg although there is a need to perform other diagnostic tests. </w:t>
      </w:r>
    </w:p>
    <w:p w:rsidR="00DF5B4D" w:rsidRPr="00D55EBB" w:rsidP="00D55EB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5E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Ankylosing Spondylitis</w:t>
      </w:r>
      <w:r w:rsidRPr="00D55EBB" w:rsidR="00C045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(AS)</w:t>
      </w:r>
      <w:r w:rsidRPr="00D55E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55EBB" w:rsidR="00C0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 is a common and chronic</w:t>
      </w:r>
      <w:r w:rsidRPr="00D55EBB" w:rsidR="0088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type of</w:t>
      </w:r>
      <w:r w:rsidRPr="00D55EBB" w:rsidR="0088326B">
        <w:rPr>
          <w:rFonts w:ascii="Times New Roman" w:hAnsi="Times New Roman" w:cs="Times New Roman"/>
          <w:sz w:val="24"/>
          <w:szCs w:val="24"/>
        </w:rPr>
        <w:t xml:space="preserve"> </w:t>
      </w:r>
      <w:r w:rsidRPr="00D55EBB" w:rsidR="0088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spondyloarthropathy</w:t>
      </w:r>
      <w:r w:rsidRPr="00D55EBB" w:rsidR="0088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defined as an </w:t>
      </w:r>
      <w:r w:rsidRPr="00D55EBB" w:rsidR="00C0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inflammatory autoimmune disease that mainly</w:t>
      </w:r>
      <w:r w:rsidRPr="00D55EBB" w:rsidR="00C0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affecting </w:t>
      </w:r>
      <w:r w:rsidRPr="00D55EBB" w:rsidR="005D2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spine joints characterized by severe and chronic pain and can progress causing spine fusion. </w:t>
      </w:r>
      <w:r w:rsidRPr="00D55EBB" w:rsidR="00883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clinical manifestation of AS </w:t>
      </w:r>
      <w:r w:rsidRPr="00D55EBB" w:rsidR="00A50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includes back pain, progressive spinal rigidity, and inflammation of the shoulders, hips, and peripheral joints</w:t>
      </w:r>
      <w:r w:rsidRPr="00D55EBB" w:rsidR="00FC12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D55EBB" w:rsidR="00E335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Zhu</w:t>
      </w:r>
      <w:r w:rsidRPr="00D55EBB" w:rsidR="00E335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Pr="00D55EBB" w:rsidR="00FC12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5EBB" w:rsidR="00A50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The available criteria for the diagnosis of AS used in clinical practice include the </w:t>
      </w:r>
      <w:r w:rsidRPr="00D55EBB" w:rsidR="00A50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modified New York (</w:t>
      </w:r>
      <w:r w:rsidRPr="00D55EBB" w:rsidR="00A50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mNY</w:t>
      </w:r>
      <w:r w:rsidRPr="00D55EBB" w:rsidR="00A50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55EBB" w:rsidR="00A50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one </w:t>
      </w:r>
      <w:r w:rsidRPr="00D55EBB" w:rsidR="00FC12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radiological diagnosis that meet the needs of the patient</w:t>
      </w:r>
    </w:p>
    <w:p w:rsidR="00795A03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Lumbar Stenosis:</w:t>
      </w:r>
      <w:r w:rsidRPr="00D55EBB">
        <w:rPr>
          <w:rFonts w:ascii="Times New Roman" w:hAnsi="Times New Roman" w:cs="Times New Roman"/>
          <w:sz w:val="24"/>
          <w:szCs w:val="24"/>
        </w:rPr>
        <w:t xml:space="preserve"> This refers to dege</w:t>
      </w:r>
      <w:r w:rsidRPr="00D55EBB" w:rsidR="00E335F4">
        <w:rPr>
          <w:rFonts w:ascii="Times New Roman" w:hAnsi="Times New Roman" w:cs="Times New Roman"/>
          <w:sz w:val="24"/>
          <w:szCs w:val="24"/>
        </w:rPr>
        <w:t>ne</w:t>
      </w:r>
      <w:r w:rsidRPr="00D55EBB">
        <w:rPr>
          <w:rFonts w:ascii="Times New Roman" w:hAnsi="Times New Roman" w:cs="Times New Roman"/>
          <w:sz w:val="24"/>
          <w:szCs w:val="24"/>
        </w:rPr>
        <w:t xml:space="preserve">ration of intervertebral discs </w:t>
      </w:r>
      <w:r w:rsidRPr="00D55EBB" w:rsidR="00E335F4">
        <w:rPr>
          <w:rFonts w:ascii="Times New Roman" w:hAnsi="Times New Roman" w:cs="Times New Roman"/>
          <w:sz w:val="24"/>
          <w:szCs w:val="24"/>
        </w:rPr>
        <w:t xml:space="preserve">due to relative instability, hypermobility, and hypertrophy of facet joints especially at the superior articular process. As a result, this leads to </w:t>
      </w:r>
      <w:r w:rsidRPr="00D55EBB" w:rsidR="00E77EB6">
        <w:rPr>
          <w:rFonts w:ascii="Times New Roman" w:hAnsi="Times New Roman" w:cs="Times New Roman"/>
          <w:sz w:val="24"/>
          <w:szCs w:val="24"/>
        </w:rPr>
        <w:t>compression of neural elements and decline in spinal canal dime</w:t>
      </w:r>
      <w:r w:rsidRPr="00D55EBB" w:rsidR="005A5FA7">
        <w:rPr>
          <w:rFonts w:ascii="Times New Roman" w:hAnsi="Times New Roman" w:cs="Times New Roman"/>
          <w:sz w:val="24"/>
          <w:szCs w:val="24"/>
        </w:rPr>
        <w:t>nsion and eventually causes neurologic intermittent claud</w:t>
      </w:r>
      <w:r w:rsidRPr="00D55EBB" w:rsidR="00212148">
        <w:rPr>
          <w:rFonts w:ascii="Times New Roman" w:hAnsi="Times New Roman" w:cs="Times New Roman"/>
          <w:sz w:val="24"/>
          <w:szCs w:val="24"/>
        </w:rPr>
        <w:t>ic</w:t>
      </w:r>
      <w:r w:rsidRPr="00D55EBB" w:rsidR="005A5FA7">
        <w:rPr>
          <w:rFonts w:ascii="Times New Roman" w:hAnsi="Times New Roman" w:cs="Times New Roman"/>
          <w:sz w:val="24"/>
          <w:szCs w:val="24"/>
        </w:rPr>
        <w:t xml:space="preserve">ation due to congestion of venous and arterial hypertension </w:t>
      </w:r>
      <w:r w:rsidRPr="00D55EBB" w:rsidR="00212148">
        <w:rPr>
          <w:rFonts w:ascii="Times New Roman" w:hAnsi="Times New Roman" w:cs="Times New Roman"/>
          <w:sz w:val="24"/>
          <w:szCs w:val="24"/>
        </w:rPr>
        <w:t>around nerve roots (</w:t>
      </w:r>
      <w:r w:rsidRPr="00D55EBB" w:rsidR="005B1B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</w:t>
      </w:r>
      <w:r w:rsidRPr="00D55EBB" w:rsidR="005B1B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2015</w:t>
      </w:r>
      <w:r w:rsidRPr="00D55EBB" w:rsidR="00212148">
        <w:rPr>
          <w:rFonts w:ascii="Times New Roman" w:hAnsi="Times New Roman" w:cs="Times New Roman"/>
          <w:sz w:val="24"/>
          <w:szCs w:val="24"/>
        </w:rPr>
        <w:t xml:space="preserve">). The condition is </w:t>
      </w:r>
      <w:r w:rsidRPr="00D55EBB" w:rsidR="005B1BE6">
        <w:rPr>
          <w:rFonts w:ascii="Times New Roman" w:hAnsi="Times New Roman" w:cs="Times New Roman"/>
          <w:sz w:val="24"/>
          <w:szCs w:val="24"/>
        </w:rPr>
        <w:t>characterized</w:t>
      </w:r>
      <w:r w:rsidRPr="00D55EBB" w:rsidR="00212148">
        <w:rPr>
          <w:rFonts w:ascii="Times New Roman" w:hAnsi="Times New Roman" w:cs="Times New Roman"/>
          <w:sz w:val="24"/>
          <w:szCs w:val="24"/>
        </w:rPr>
        <w:t xml:space="preserve"> by the distribution of pain in the lower extremities</w:t>
      </w:r>
      <w:r w:rsidRPr="00D55EBB" w:rsidR="00D84C27">
        <w:rPr>
          <w:rFonts w:ascii="Times New Roman" w:hAnsi="Times New Roman" w:cs="Times New Roman"/>
          <w:sz w:val="24"/>
          <w:szCs w:val="24"/>
        </w:rPr>
        <w:t xml:space="preserve">. In severe cases, it causes </w:t>
      </w:r>
      <w:r w:rsidRPr="00D55EBB" w:rsidR="005B1BE6">
        <w:rPr>
          <w:rFonts w:ascii="Times New Roman" w:hAnsi="Times New Roman" w:cs="Times New Roman"/>
          <w:sz w:val="24"/>
          <w:szCs w:val="24"/>
        </w:rPr>
        <w:t>neurogenic bladder</w:t>
      </w:r>
      <w:r w:rsidRPr="00D55EBB" w:rsidR="00D84C27">
        <w:rPr>
          <w:rFonts w:ascii="Times New Roman" w:hAnsi="Times New Roman" w:cs="Times New Roman"/>
          <w:sz w:val="24"/>
          <w:szCs w:val="24"/>
        </w:rPr>
        <w:t xml:space="preserve"> and rests pain in severe cases.</w:t>
      </w:r>
    </w:p>
    <w:p w:rsidR="005B1BE6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 xml:space="preserve">Musculoskeletal </w:t>
      </w:r>
      <w:r w:rsidRPr="00D55EBB" w:rsidR="0095171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55EBB">
        <w:rPr>
          <w:rFonts w:ascii="Times New Roman" w:hAnsi="Times New Roman" w:cs="Times New Roman"/>
          <w:b/>
          <w:bCs/>
          <w:sz w:val="24"/>
          <w:szCs w:val="24"/>
        </w:rPr>
        <w:t>ain:</w:t>
      </w:r>
      <w:r w:rsidRPr="00D55EBB">
        <w:rPr>
          <w:rFonts w:ascii="Times New Roman" w:hAnsi="Times New Roman" w:cs="Times New Roman"/>
          <w:sz w:val="24"/>
          <w:szCs w:val="24"/>
        </w:rPr>
        <w:t xml:space="preserve"> This is pain affecting ligaments, bones, tendons, and </w:t>
      </w:r>
      <w:r w:rsidRPr="00D55EBB" w:rsidR="00375EBC">
        <w:rPr>
          <w:rFonts w:ascii="Times New Roman" w:hAnsi="Times New Roman" w:cs="Times New Roman"/>
          <w:sz w:val="24"/>
          <w:szCs w:val="24"/>
        </w:rPr>
        <w:t>muscles</w:t>
      </w:r>
      <w:r w:rsidRPr="00D55EBB">
        <w:rPr>
          <w:rFonts w:ascii="Times New Roman" w:hAnsi="Times New Roman" w:cs="Times New Roman"/>
          <w:sz w:val="24"/>
          <w:szCs w:val="24"/>
        </w:rPr>
        <w:t xml:space="preserve"> especially after inflammation of the lower back structure due to strain or overexploitation. It is </w:t>
      </w:r>
      <w:r w:rsidRPr="00D55EBB" w:rsidR="00375EBC">
        <w:rPr>
          <w:rFonts w:ascii="Times New Roman" w:hAnsi="Times New Roman" w:cs="Times New Roman"/>
          <w:sz w:val="24"/>
          <w:szCs w:val="24"/>
        </w:rPr>
        <w:t>characterized</w:t>
      </w:r>
      <w:r w:rsidRPr="00D55EBB">
        <w:rPr>
          <w:rFonts w:ascii="Times New Roman" w:hAnsi="Times New Roman" w:cs="Times New Roman"/>
          <w:sz w:val="24"/>
          <w:szCs w:val="24"/>
        </w:rPr>
        <w:t xml:space="preserve"> by localized pain with no neurogenic symptoms</w:t>
      </w:r>
      <w:r w:rsidRPr="00D55EBB" w:rsidR="00375EBC">
        <w:rPr>
          <w:rFonts w:ascii="Times New Roman" w:hAnsi="Times New Roman" w:cs="Times New Roman"/>
          <w:sz w:val="24"/>
          <w:szCs w:val="24"/>
        </w:rPr>
        <w:t xml:space="preserve"> (</w:t>
      </w:r>
      <w:r w:rsidRPr="00D55EBB" w:rsidR="00375E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Uddin &amp; </w:t>
      </w:r>
      <w:r w:rsidRPr="00D55EBB" w:rsidR="00375E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MacDermid</w:t>
      </w:r>
      <w:r w:rsidRPr="00D55EBB" w:rsidR="00375E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2016</w:t>
      </w:r>
      <w:r w:rsidRPr="00D55EBB" w:rsidR="00375EBC">
        <w:rPr>
          <w:rFonts w:ascii="Times New Roman" w:hAnsi="Times New Roman" w:cs="Times New Roman"/>
          <w:sz w:val="24"/>
          <w:szCs w:val="24"/>
        </w:rPr>
        <w:t>)</w:t>
      </w:r>
      <w:r w:rsidRPr="00D55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BE6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b/>
          <w:bCs/>
          <w:sz w:val="24"/>
          <w:szCs w:val="24"/>
        </w:rPr>
        <w:t>Osteoporosis:</w:t>
      </w:r>
      <w:r w:rsidRPr="00D55EBB">
        <w:rPr>
          <w:rFonts w:ascii="Times New Roman" w:hAnsi="Times New Roman" w:cs="Times New Roman"/>
          <w:sz w:val="24"/>
          <w:szCs w:val="24"/>
        </w:rPr>
        <w:t xml:space="preserve"> This refers to a loss of mineral in bone masses caused by compression of vertebral body </w:t>
      </w:r>
      <w:r w:rsidRPr="00D55EBB" w:rsidR="00375EBC">
        <w:rPr>
          <w:rFonts w:ascii="Times New Roman" w:hAnsi="Times New Roman" w:cs="Times New Roman"/>
          <w:sz w:val="24"/>
          <w:szCs w:val="24"/>
        </w:rPr>
        <w:t>structure</w:t>
      </w:r>
      <w:r w:rsidRPr="00D55EBB">
        <w:rPr>
          <w:rFonts w:ascii="Times New Roman" w:hAnsi="Times New Roman" w:cs="Times New Roman"/>
          <w:sz w:val="24"/>
          <w:szCs w:val="24"/>
        </w:rPr>
        <w:t xml:space="preserve"> manifested through localized back pain. The condition commonly affects people aged 50 years a</w:t>
      </w:r>
      <w:r w:rsidRPr="00D55EBB" w:rsidR="00375EBC">
        <w:rPr>
          <w:rFonts w:ascii="Times New Roman" w:hAnsi="Times New Roman" w:cs="Times New Roman"/>
          <w:sz w:val="24"/>
          <w:szCs w:val="24"/>
        </w:rPr>
        <w:t xml:space="preserve">bove with a deficiency in vitamin D. </w:t>
      </w:r>
    </w:p>
    <w:p w:rsidR="002B2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00C6" w:rsidRPr="00D55EBB" w:rsidP="00D55E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sz w:val="24"/>
          <w:szCs w:val="24"/>
        </w:rPr>
        <w:t>References</w:t>
      </w:r>
    </w:p>
    <w:p w:rsidR="002B204E" w:rsidRPr="00D55EBB" w:rsidP="00D55EB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Berthelot, J. M.,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Darrieutort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-Laffite, C.,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Arnolfo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Glémarec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Le Goff, B., &amp;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Maugars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 (2020). Inadequacies of the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Lasègue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test, and how the Slump and Bowstring tests are useful for the diagnosis of sciatica.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Joint bone spine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105030.</w:t>
      </w:r>
    </w:p>
    <w:p w:rsidR="002B204E" w:rsidRPr="00D55EBB" w:rsidP="002B204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sz w:val="24"/>
          <w:szCs w:val="24"/>
        </w:rPr>
        <w:t xml:space="preserve">Chou, R., </w:t>
      </w:r>
      <w:r w:rsidRPr="00D55EBB">
        <w:rPr>
          <w:rFonts w:ascii="Times New Roman" w:hAnsi="Times New Roman" w:cs="Times New Roman"/>
          <w:sz w:val="24"/>
          <w:szCs w:val="24"/>
        </w:rPr>
        <w:t>Deyo</w:t>
      </w:r>
      <w:r w:rsidRPr="00D55EBB">
        <w:rPr>
          <w:rFonts w:ascii="Times New Roman" w:hAnsi="Times New Roman" w:cs="Times New Roman"/>
          <w:sz w:val="24"/>
          <w:szCs w:val="24"/>
        </w:rPr>
        <w:t xml:space="preserve">, R., </w:t>
      </w:r>
      <w:r w:rsidRPr="00D55EBB">
        <w:rPr>
          <w:rFonts w:ascii="Times New Roman" w:hAnsi="Times New Roman" w:cs="Times New Roman"/>
          <w:sz w:val="24"/>
          <w:szCs w:val="24"/>
        </w:rPr>
        <w:t>Friedly</w:t>
      </w:r>
      <w:r w:rsidRPr="00D55EBB">
        <w:rPr>
          <w:rFonts w:ascii="Times New Roman" w:hAnsi="Times New Roman" w:cs="Times New Roman"/>
          <w:sz w:val="24"/>
          <w:szCs w:val="24"/>
        </w:rPr>
        <w:t xml:space="preserve">, J., Skelly, A., Weimer, M., Fu, R., ... &amp;amp; </w:t>
      </w:r>
      <w:r w:rsidRPr="00D55EBB">
        <w:rPr>
          <w:rFonts w:ascii="Times New Roman" w:hAnsi="Times New Roman" w:cs="Times New Roman"/>
          <w:sz w:val="24"/>
          <w:szCs w:val="24"/>
        </w:rPr>
        <w:t>Grusing</w:t>
      </w:r>
      <w:r w:rsidRPr="00D55EBB">
        <w:rPr>
          <w:rFonts w:ascii="Times New Roman" w:hAnsi="Times New Roman" w:cs="Times New Roman"/>
          <w:sz w:val="24"/>
          <w:szCs w:val="24"/>
        </w:rPr>
        <w:t>, S. (2017).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EBB">
        <w:rPr>
          <w:rFonts w:ascii="Times New Roman" w:hAnsi="Times New Roman" w:cs="Times New Roman"/>
          <w:sz w:val="24"/>
          <w:szCs w:val="24"/>
        </w:rPr>
        <w:t>Systemic pharmacologic therapies for low back pain: a systematic review for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EBB">
        <w:rPr>
          <w:rFonts w:ascii="Times New Roman" w:hAnsi="Times New Roman" w:cs="Times New Roman"/>
          <w:sz w:val="24"/>
          <w:szCs w:val="24"/>
        </w:rPr>
        <w:t>America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EBB">
        <w:rPr>
          <w:rFonts w:ascii="Times New Roman" w:hAnsi="Times New Roman" w:cs="Times New Roman"/>
          <w:sz w:val="24"/>
          <w:szCs w:val="24"/>
        </w:rPr>
        <w:t>College of Physicians clinical practice guideline. Annals of 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EBB">
        <w:rPr>
          <w:rFonts w:ascii="Times New Roman" w:hAnsi="Times New Roman" w:cs="Times New Roman"/>
          <w:sz w:val="24"/>
          <w:szCs w:val="24"/>
        </w:rPr>
        <w:t>medicine, 166(7), 480-492.</w:t>
      </w:r>
      <w:r w:rsidRPr="00D55EBB">
        <w:rPr>
          <w:rFonts w:ascii="Times New Roman" w:hAnsi="Times New Roman" w:cs="Times New Roman"/>
          <w:sz w:val="24"/>
          <w:szCs w:val="24"/>
        </w:rPr>
        <w:t xml:space="preserve"> </w:t>
      </w:r>
      <w:r w:rsidRPr="00D55EBB">
        <w:rPr>
          <w:rStyle w:val="id-label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DOI: </w:t>
      </w:r>
      <w:hyperlink r:id="rId4" w:tgtFrame="_blank" w:history="1">
        <w:r w:rsidRPr="00D55EBB">
          <w:rPr>
            <w:rStyle w:val="Hyperlink"/>
            <w:rFonts w:ascii="Times New Roman" w:hAnsi="Times New Roman" w:cs="Times New Roman"/>
            <w:color w:val="0071BC"/>
            <w:sz w:val="24"/>
            <w:szCs w:val="24"/>
            <w:shd w:val="clear" w:color="auto" w:fill="FFFFFF"/>
          </w:rPr>
          <w:t>10.7326/M16-2458</w:t>
        </w:r>
      </w:hyperlink>
    </w:p>
    <w:p w:rsidR="002B204E" w:rsidRPr="00D55EBB" w:rsidP="00D55EB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Lee, S. Y., Kim, T. H., Oh, J. K., Lee, S. J., &amp; Park, M. S. (2015). Lumbar stenosis: a recent update by review of literature.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Asian spine journal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818.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r w:rsidRPr="00D55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hyperlink r:id="rId5" w:tgtFrame="pmc_ext" w:history="1">
        <w:r w:rsidRPr="002B204E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10.4184/asj.2015.9.5.818</w:t>
        </w:r>
      </w:hyperlink>
    </w:p>
    <w:p w:rsidR="002B204E" w:rsidRPr="00D55EBB" w:rsidP="00D55EB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Petersen, T.,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Laslett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Juhl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(2017). Clinical classification in low back pain: best-evidence diagnostic rules based on systematic reviews.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musculoskeletal disorders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188.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2B204E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https://doi.org/10.1186/s12891-017-1549-6</w:t>
        </w:r>
      </w:hyperlink>
      <w:r w:rsidRPr="002B204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:rsidR="002B204E" w:rsidRPr="00D55EBB" w:rsidP="00D55EBB">
      <w:pPr>
        <w:pStyle w:val="Heading4"/>
        <w:shd w:val="clear" w:color="auto" w:fill="FFFFFF"/>
        <w:spacing w:before="0" w:beforeAutospacing="0" w:after="0" w:afterAutospacing="0" w:line="480" w:lineRule="auto"/>
        <w:ind w:left="720" w:hanging="720"/>
        <w:rPr>
          <w:b w:val="0"/>
          <w:bCs w:val="0"/>
          <w:color w:val="800000"/>
        </w:rPr>
      </w:pPr>
      <w:r w:rsidRPr="00D55EBB">
        <w:rPr>
          <w:b w:val="0"/>
          <w:bCs w:val="0"/>
          <w:color w:val="222222"/>
          <w:shd w:val="clear" w:color="auto" w:fill="FFFFFF"/>
        </w:rPr>
        <w:t xml:space="preserve">Silva, P. H. B. D., &amp; </w:t>
      </w:r>
      <w:r w:rsidRPr="00D55EBB">
        <w:rPr>
          <w:b w:val="0"/>
          <w:bCs w:val="0"/>
          <w:color w:val="222222"/>
          <w:shd w:val="clear" w:color="auto" w:fill="FFFFFF"/>
        </w:rPr>
        <w:t>Inumaru</w:t>
      </w:r>
      <w:r w:rsidRPr="00D55EBB">
        <w:rPr>
          <w:b w:val="0"/>
          <w:bCs w:val="0"/>
          <w:color w:val="222222"/>
          <w:shd w:val="clear" w:color="auto" w:fill="FFFFFF"/>
        </w:rPr>
        <w:t xml:space="preserve">, S. M. S. M. (2015). Assessment of pain in patients with chronic low back pain before and after application of the </w:t>
      </w:r>
      <w:r w:rsidRPr="00D55EBB">
        <w:rPr>
          <w:b w:val="0"/>
          <w:bCs w:val="0"/>
          <w:color w:val="222222"/>
          <w:shd w:val="clear" w:color="auto" w:fill="FFFFFF"/>
        </w:rPr>
        <w:t>isostreching</w:t>
      </w:r>
      <w:r w:rsidRPr="00D55EBB">
        <w:rPr>
          <w:b w:val="0"/>
          <w:bCs w:val="0"/>
          <w:color w:val="222222"/>
          <w:shd w:val="clear" w:color="auto" w:fill="FFFFFF"/>
        </w:rPr>
        <w:t xml:space="preserve"> method. </w:t>
      </w:r>
      <w:r w:rsidRPr="00D55EBB">
        <w:rPr>
          <w:b w:val="0"/>
          <w:bCs w:val="0"/>
          <w:i/>
          <w:iCs/>
          <w:color w:val="222222"/>
          <w:shd w:val="clear" w:color="auto" w:fill="FFFFFF"/>
        </w:rPr>
        <w:t>Fisioterapia</w:t>
      </w:r>
      <w:r w:rsidRPr="00D55EBB">
        <w:rPr>
          <w:b w:val="0"/>
          <w:bCs w:val="0"/>
          <w:i/>
          <w:iCs/>
          <w:color w:val="222222"/>
          <w:shd w:val="clear" w:color="auto" w:fill="FFFFFF"/>
        </w:rPr>
        <w:t xml:space="preserve"> </w:t>
      </w:r>
      <w:r w:rsidRPr="00D55EBB">
        <w:rPr>
          <w:b w:val="0"/>
          <w:bCs w:val="0"/>
          <w:i/>
          <w:iCs/>
          <w:color w:val="222222"/>
          <w:shd w:val="clear" w:color="auto" w:fill="FFFFFF"/>
        </w:rPr>
        <w:t>em</w:t>
      </w:r>
      <w:r w:rsidRPr="00D55EBB">
        <w:rPr>
          <w:b w:val="0"/>
          <w:bCs w:val="0"/>
          <w:i/>
          <w:iCs/>
          <w:color w:val="222222"/>
          <w:shd w:val="clear" w:color="auto" w:fill="FFFFFF"/>
        </w:rPr>
        <w:t xml:space="preserve"> </w:t>
      </w:r>
      <w:r w:rsidRPr="00D55EBB">
        <w:rPr>
          <w:b w:val="0"/>
          <w:bCs w:val="0"/>
          <w:i/>
          <w:iCs/>
          <w:color w:val="222222"/>
          <w:shd w:val="clear" w:color="auto" w:fill="FFFFFF"/>
        </w:rPr>
        <w:t>Movimento</w:t>
      </w:r>
      <w:r w:rsidRPr="00D55EBB">
        <w:rPr>
          <w:b w:val="0"/>
          <w:bCs w:val="0"/>
          <w:color w:val="222222"/>
          <w:shd w:val="clear" w:color="auto" w:fill="FFFFFF"/>
        </w:rPr>
        <w:t>, </w:t>
      </w:r>
      <w:r w:rsidRPr="00D55EBB">
        <w:rPr>
          <w:b w:val="0"/>
          <w:bCs w:val="0"/>
          <w:i/>
          <w:iCs/>
          <w:color w:val="222222"/>
          <w:shd w:val="clear" w:color="auto" w:fill="FFFFFF"/>
        </w:rPr>
        <w:t>28</w:t>
      </w:r>
      <w:r w:rsidRPr="00D55EBB">
        <w:rPr>
          <w:b w:val="0"/>
          <w:bCs w:val="0"/>
          <w:color w:val="222222"/>
          <w:shd w:val="clear" w:color="auto" w:fill="FFFFFF"/>
        </w:rPr>
        <w:t>(4), 767-777.</w:t>
      </w:r>
      <w:r w:rsidRPr="00D55EBB">
        <w:rPr>
          <w:color w:val="222222"/>
          <w:shd w:val="clear" w:color="auto" w:fill="FFFFFF"/>
        </w:rPr>
        <w:t xml:space="preserve"> </w:t>
      </w:r>
      <w:hyperlink r:id="rId7" w:history="1">
        <w:r w:rsidRPr="002B204E">
          <w:rPr>
            <w:b w:val="0"/>
            <w:bCs w:val="0"/>
            <w:color w:val="0070C0"/>
            <w:u w:val="single"/>
          </w:rPr>
          <w:t>https://doi.org/10.1590/0103-5150.028.004.AO14</w:t>
        </w:r>
      </w:hyperlink>
      <w:r w:rsidRPr="002B204E">
        <w:rPr>
          <w:b w:val="0"/>
          <w:bCs w:val="0"/>
          <w:color w:val="0070C0"/>
        </w:rPr>
        <w:t> </w:t>
      </w:r>
    </w:p>
    <w:p w:rsidR="002B204E" w:rsidRPr="00D55EBB" w:rsidP="00D55EBB">
      <w:pPr>
        <w:shd w:val="clear" w:color="auto" w:fill="FFFFFF"/>
        <w:spacing w:after="0" w:line="480" w:lineRule="auto"/>
        <w:ind w:left="720" w:hanging="720"/>
        <w:textAlignment w:val="baseline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Uddin, Z., &amp;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MacDermid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C. (2016). Quantitative sensory testing in chronic musculoskeletal pain.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Pain Medicine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1694-1703.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D55EBB">
          <w:rPr>
            <w:rFonts w:ascii="Times New Roman" w:eastAsia="Times New Roman" w:hAnsi="Times New Roman" w:cs="Times New Roman"/>
            <w:color w:val="006FB7"/>
            <w:sz w:val="24"/>
            <w:szCs w:val="24"/>
            <w:u w:val="single"/>
            <w:bdr w:val="none" w:sz="0" w:space="0" w:color="auto" w:frame="1"/>
          </w:rPr>
          <w:t>https://doi.org/10.1093/pm/pnv105</w:t>
        </w:r>
      </w:hyperlink>
    </w:p>
    <w:p w:rsidR="002B204E" w:rsidRPr="00D55EBB" w:rsidP="00D55EB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Vakili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&amp; Crum-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Cianflone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F. (2017). Spinal epidural abscess: a series of 101 cases.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American Journal of Medicine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130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1458-1463.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tgtFrame="_blank" w:tooltip="Persistent link using digital object identifier" w:history="1">
        <w:r w:rsidRPr="00D55EBB">
          <w:rPr>
            <w:rStyle w:val="Hyperlink"/>
            <w:rFonts w:ascii="Times New Roman" w:hAnsi="Times New Roman" w:cs="Times New Roman"/>
            <w:color w:val="0C7DBB"/>
            <w:sz w:val="24"/>
            <w:szCs w:val="24"/>
          </w:rPr>
          <w:t>https://doi.org/10.1016/j.amjmed.2017.07.017</w:t>
        </w:r>
      </w:hyperlink>
      <w:r w:rsidRPr="00D55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04E" w:rsidRPr="00D55EBB" w:rsidP="00D55EB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Zhu, W., He, X., Cheng, K., Zhang, L., Chen, D., Wang, X., ... &amp; Weng, X. (2019). Ankylosing spondylitis: etiology, pathogenesis, and treatments.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Bone Research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5E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1-16.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10.1038/s41413-019-0057-8</w:t>
      </w:r>
      <w:r w:rsidRPr="00D5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D2C82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83A51" w:rsidRPr="00D55EBB" w:rsidP="00D55EB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83"/>
    <w:rsid w:val="000353ED"/>
    <w:rsid w:val="00072916"/>
    <w:rsid w:val="0007634C"/>
    <w:rsid w:val="00105D9B"/>
    <w:rsid w:val="00157497"/>
    <w:rsid w:val="00180A9F"/>
    <w:rsid w:val="00183A51"/>
    <w:rsid w:val="001F4E66"/>
    <w:rsid w:val="00212148"/>
    <w:rsid w:val="00241BA9"/>
    <w:rsid w:val="002447E4"/>
    <w:rsid w:val="002540C9"/>
    <w:rsid w:val="002B204E"/>
    <w:rsid w:val="002D59D9"/>
    <w:rsid w:val="0030102D"/>
    <w:rsid w:val="00343891"/>
    <w:rsid w:val="00346EBE"/>
    <w:rsid w:val="003534AB"/>
    <w:rsid w:val="00375EBC"/>
    <w:rsid w:val="003A717C"/>
    <w:rsid w:val="00486C47"/>
    <w:rsid w:val="004B03B1"/>
    <w:rsid w:val="00501422"/>
    <w:rsid w:val="00512845"/>
    <w:rsid w:val="005430E3"/>
    <w:rsid w:val="005A54EE"/>
    <w:rsid w:val="005A5FA7"/>
    <w:rsid w:val="005A62EC"/>
    <w:rsid w:val="005B1BE6"/>
    <w:rsid w:val="005D2428"/>
    <w:rsid w:val="00621301"/>
    <w:rsid w:val="006651B8"/>
    <w:rsid w:val="00682CCC"/>
    <w:rsid w:val="006C1C21"/>
    <w:rsid w:val="00705C28"/>
    <w:rsid w:val="0071352F"/>
    <w:rsid w:val="00736E54"/>
    <w:rsid w:val="00747D53"/>
    <w:rsid w:val="007626A0"/>
    <w:rsid w:val="00795A03"/>
    <w:rsid w:val="007A33C3"/>
    <w:rsid w:val="007D3683"/>
    <w:rsid w:val="007D72C0"/>
    <w:rsid w:val="008043A9"/>
    <w:rsid w:val="0083382A"/>
    <w:rsid w:val="008562FC"/>
    <w:rsid w:val="00865D4C"/>
    <w:rsid w:val="00870587"/>
    <w:rsid w:val="0087381D"/>
    <w:rsid w:val="00873CB5"/>
    <w:rsid w:val="0088326B"/>
    <w:rsid w:val="008D5E4D"/>
    <w:rsid w:val="00924023"/>
    <w:rsid w:val="00943FD1"/>
    <w:rsid w:val="00951713"/>
    <w:rsid w:val="00980D62"/>
    <w:rsid w:val="009D1589"/>
    <w:rsid w:val="009E11C3"/>
    <w:rsid w:val="009E3F3C"/>
    <w:rsid w:val="00A21F76"/>
    <w:rsid w:val="00A506AA"/>
    <w:rsid w:val="00A609C6"/>
    <w:rsid w:val="00A928F2"/>
    <w:rsid w:val="00AE4883"/>
    <w:rsid w:val="00B07549"/>
    <w:rsid w:val="00B37337"/>
    <w:rsid w:val="00B565EA"/>
    <w:rsid w:val="00C02025"/>
    <w:rsid w:val="00C04529"/>
    <w:rsid w:val="00C47577"/>
    <w:rsid w:val="00C616D4"/>
    <w:rsid w:val="00CA6EE5"/>
    <w:rsid w:val="00CB630A"/>
    <w:rsid w:val="00CC6357"/>
    <w:rsid w:val="00D1171D"/>
    <w:rsid w:val="00D55EBB"/>
    <w:rsid w:val="00D84C27"/>
    <w:rsid w:val="00DC00C6"/>
    <w:rsid w:val="00DD720C"/>
    <w:rsid w:val="00DF5B4D"/>
    <w:rsid w:val="00E07B81"/>
    <w:rsid w:val="00E335F4"/>
    <w:rsid w:val="00E464A9"/>
    <w:rsid w:val="00E603EA"/>
    <w:rsid w:val="00E614D5"/>
    <w:rsid w:val="00E66DEB"/>
    <w:rsid w:val="00E77EB6"/>
    <w:rsid w:val="00E80311"/>
    <w:rsid w:val="00EA1ED7"/>
    <w:rsid w:val="00EB38E8"/>
    <w:rsid w:val="00ED2C82"/>
    <w:rsid w:val="00ED3503"/>
    <w:rsid w:val="00F37AE8"/>
    <w:rsid w:val="00F47779"/>
    <w:rsid w:val="00FC12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DE126B"/>
  <w15:chartTrackingRefBased/>
  <w15:docId w15:val="{316F6351-1B7A-4C13-AE8D-AA700755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D2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0C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7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D2C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d-label">
    <w:name w:val="id-label"/>
    <w:basedOn w:val="DefaultParagraphFont"/>
    <w:rsid w:val="0048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7326/m16-2458" TargetMode="External" /><Relationship Id="rId5" Type="http://schemas.openxmlformats.org/officeDocument/2006/relationships/hyperlink" Target="https://dx.doi.org/10.4184%2Fasj.2015.9.5.818" TargetMode="External" /><Relationship Id="rId6" Type="http://schemas.openxmlformats.org/officeDocument/2006/relationships/hyperlink" Target="https://doi.org/10.1186/s12891-017-1549-6" TargetMode="External" /><Relationship Id="rId7" Type="http://schemas.openxmlformats.org/officeDocument/2006/relationships/hyperlink" Target="https://doi.org/10.1590/0103-5150.028.004.AO14" TargetMode="External" /><Relationship Id="rId8" Type="http://schemas.openxmlformats.org/officeDocument/2006/relationships/hyperlink" Target="https://doi.org/10.1093/pm/pnv105" TargetMode="External" /><Relationship Id="rId9" Type="http://schemas.openxmlformats.org/officeDocument/2006/relationships/hyperlink" Target="https://doi.org/10.1016/j.amjmed.2017.07.01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2021-01-21T01:30:00Z</dcterms:created>
  <dcterms:modified xsi:type="dcterms:W3CDTF">2021-01-21T03:35:00Z</dcterms:modified>
</cp:coreProperties>
</file>