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0F72" w:rsidRPr="00AB21E7" w:rsidRDefault="00B30F72" w:rsidP="00B30F72">
      <w:pPr>
        <w:spacing w:after="0" w:line="480" w:lineRule="auto"/>
        <w:rPr>
          <w:rFonts w:ascii="Times New Roman" w:hAnsi="Times New Roman" w:cs="Times New Roman"/>
          <w:b/>
          <w:sz w:val="24"/>
          <w:szCs w:val="24"/>
        </w:rPr>
      </w:pPr>
      <w:r w:rsidRPr="00DA5EDF">
        <w:rPr>
          <w:rFonts w:ascii="Times New Roman" w:hAnsi="Times New Roman" w:cs="Times New Roman"/>
          <w:sz w:val="24"/>
          <w:szCs w:val="24"/>
        </w:rPr>
        <w:t xml:space="preserve">                                          </w:t>
      </w:r>
      <w:bookmarkStart w:id="0" w:name="_GoBack"/>
      <w:r w:rsidRPr="00AB21E7">
        <w:rPr>
          <w:rFonts w:ascii="Times New Roman" w:hAnsi="Times New Roman" w:cs="Times New Roman"/>
          <w:b/>
          <w:sz w:val="24"/>
          <w:szCs w:val="24"/>
        </w:rPr>
        <w:t xml:space="preserve">Principle of Pharmacology Discussion </w:t>
      </w:r>
      <w:bookmarkEnd w:id="0"/>
    </w:p>
    <w:p w:rsidR="00B30F72" w:rsidRPr="00DA5EDF" w:rsidRDefault="00B30F72" w:rsidP="00B30F72">
      <w:pPr>
        <w:spacing w:after="0" w:line="480" w:lineRule="auto"/>
        <w:ind w:firstLine="720"/>
        <w:rPr>
          <w:rFonts w:ascii="Times New Roman" w:hAnsi="Times New Roman" w:cs="Times New Roman"/>
          <w:sz w:val="24"/>
          <w:szCs w:val="24"/>
        </w:rPr>
      </w:pPr>
      <w:r w:rsidRPr="00DA5EDF">
        <w:rPr>
          <w:rFonts w:ascii="Times New Roman" w:hAnsi="Times New Roman" w:cs="Times New Roman"/>
          <w:sz w:val="24"/>
          <w:szCs w:val="24"/>
        </w:rPr>
        <w:t xml:space="preserve">The case scenario present with a 25-year-old birth-gender male who comes to the healthcare facility with the intention of having the primary care provider to assist them in the transition process to transfeminine. The client identifies as a feminine and have been dressing as a female for over a year, been attending therapeutic sessions, and have strong support over his transition intentions. As such, the client holds that the provision of estrogen therapy will be significant in helping them in achieving the goal of being a transfeminine. Specifically, the provision of the estrogen therapy will be significant in ensuring that the client achieves a gender identity like the one they identify with unlike the one assigned at birth. </w:t>
      </w:r>
    </w:p>
    <w:p w:rsidR="00B30F72" w:rsidRPr="00DA5EDF" w:rsidRDefault="00B30F72" w:rsidP="00B30F72">
      <w:pPr>
        <w:spacing w:after="0" w:line="480" w:lineRule="auto"/>
        <w:ind w:firstLine="720"/>
        <w:rPr>
          <w:rFonts w:ascii="Times New Roman" w:hAnsi="Times New Roman" w:cs="Times New Roman"/>
          <w:sz w:val="24"/>
          <w:szCs w:val="24"/>
        </w:rPr>
      </w:pPr>
      <w:r w:rsidRPr="00DA5EDF">
        <w:rPr>
          <w:rFonts w:ascii="Times New Roman" w:hAnsi="Times New Roman" w:cs="Times New Roman"/>
          <w:sz w:val="24"/>
          <w:szCs w:val="24"/>
        </w:rPr>
        <w:t>Some of the feminine traits that the client in the case scenario desires includes but not limited to having a feminine face, hairless body, soft skin, big breasts, high-pithed voice, and more fat around the hips. As such, the following are some of the medications that the client can be prescribed with to help him towards the transition process. The client can be prescribed with estradiol 4 mg orally daily, as well as spironolactone 50 mg daily (</w:t>
      </w:r>
      <w:r w:rsidRPr="00DA5EDF">
        <w:rPr>
          <w:rFonts w:ascii="Times New Roman" w:hAnsi="Times New Roman" w:cs="Times New Roman"/>
          <w:color w:val="222222"/>
          <w:sz w:val="24"/>
          <w:szCs w:val="24"/>
          <w:shd w:val="clear" w:color="auto" w:fill="FFFFFF"/>
        </w:rPr>
        <w:t>Hashemi et al., 2018</w:t>
      </w:r>
      <w:r w:rsidRPr="00DA5EDF">
        <w:rPr>
          <w:rFonts w:ascii="Times New Roman" w:hAnsi="Times New Roman" w:cs="Times New Roman"/>
          <w:sz w:val="24"/>
          <w:szCs w:val="24"/>
        </w:rPr>
        <w:t>). After two weeks, the client can be switched with estradiol 10 mg intramuscular every 2 weeks that would offer a less thrombogenic route of administration (</w:t>
      </w:r>
      <w:r w:rsidRPr="00DA5EDF">
        <w:rPr>
          <w:rFonts w:ascii="Times New Roman" w:hAnsi="Times New Roman" w:cs="Times New Roman"/>
          <w:color w:val="222222"/>
          <w:sz w:val="24"/>
          <w:szCs w:val="24"/>
          <w:shd w:val="clear" w:color="auto" w:fill="FFFFFF"/>
        </w:rPr>
        <w:t>Hashemi et al., 2018</w:t>
      </w:r>
      <w:r w:rsidRPr="00DA5EDF">
        <w:rPr>
          <w:rFonts w:ascii="Times New Roman" w:hAnsi="Times New Roman" w:cs="Times New Roman"/>
          <w:sz w:val="24"/>
          <w:szCs w:val="24"/>
        </w:rPr>
        <w:t xml:space="preserve">). Following these prescriptions, it is significant for the client to be assessed every three months to affirm the achievement of the appropriate signs of feminization besides identifying any possible adverse effects. </w:t>
      </w:r>
    </w:p>
    <w:p w:rsidR="00B30F72" w:rsidRPr="00DA5EDF" w:rsidRDefault="00B30F72" w:rsidP="00B30F72">
      <w:pPr>
        <w:pStyle w:val="NormalWeb"/>
        <w:shd w:val="clear" w:color="auto" w:fill="FFFFFF"/>
        <w:spacing w:after="0" w:afterAutospacing="0" w:line="480" w:lineRule="auto"/>
        <w:rPr>
          <w:color w:val="000000" w:themeColor="text1"/>
        </w:rPr>
      </w:pPr>
      <w:r w:rsidRPr="00DA5EDF">
        <w:rPr>
          <w:color w:val="000000" w:themeColor="text1"/>
        </w:rPr>
        <w:t xml:space="preserve">There are </w:t>
      </w:r>
      <w:proofErr w:type="gramStart"/>
      <w:r w:rsidRPr="00DA5EDF">
        <w:rPr>
          <w:color w:val="000000" w:themeColor="text1"/>
        </w:rPr>
        <w:t>a number of</w:t>
      </w:r>
      <w:proofErr w:type="gramEnd"/>
      <w:r w:rsidRPr="00DA5EDF">
        <w:rPr>
          <w:color w:val="000000" w:themeColor="text1"/>
        </w:rPr>
        <w:t xml:space="preserve"> adverse effects that the client in the case scenario would encounter upon receiving the feminizing hormone therapy. These adverse effects include pulmonary embolism, deep vein thrombosis, hypertension, hyperkalemia, cardiovascular disease, or infertility (</w:t>
      </w:r>
      <w:r w:rsidRPr="00DA5EDF">
        <w:rPr>
          <w:color w:val="222222"/>
          <w:shd w:val="clear" w:color="auto" w:fill="FFFFFF"/>
        </w:rPr>
        <w:t>Deutsch, 2016</w:t>
      </w:r>
      <w:r w:rsidRPr="00DA5EDF">
        <w:rPr>
          <w:color w:val="000000" w:themeColor="text1"/>
        </w:rPr>
        <w:t xml:space="preserve">). Other possible side effects that the client is at the risk of developing include </w:t>
      </w:r>
      <w:r w:rsidRPr="00DA5EDF">
        <w:rPr>
          <w:color w:val="000000" w:themeColor="text1"/>
        </w:rPr>
        <w:lastRenderedPageBreak/>
        <w:t>nipple discharge, type 2 diabetes, weight gain, stroke, as well as an increased risk of developing breast cancer (</w:t>
      </w:r>
      <w:r w:rsidRPr="00DA5EDF">
        <w:rPr>
          <w:color w:val="222222"/>
          <w:shd w:val="clear" w:color="auto" w:fill="FFFFFF"/>
        </w:rPr>
        <w:t>Deutsch, 2016</w:t>
      </w:r>
      <w:r w:rsidRPr="00DA5EDF">
        <w:rPr>
          <w:color w:val="000000" w:themeColor="text1"/>
        </w:rPr>
        <w:t xml:space="preserve">). </w:t>
      </w:r>
    </w:p>
    <w:p w:rsidR="00B30F72" w:rsidRPr="00DA5EDF" w:rsidRDefault="00B30F72" w:rsidP="00B30F72">
      <w:pPr>
        <w:spacing w:after="0" w:line="480" w:lineRule="auto"/>
        <w:jc w:val="center"/>
        <w:rPr>
          <w:rFonts w:ascii="Times New Roman" w:hAnsi="Times New Roman" w:cs="Times New Roman"/>
          <w:b/>
          <w:sz w:val="24"/>
          <w:szCs w:val="24"/>
        </w:rPr>
      </w:pPr>
      <w:r w:rsidRPr="00DA5EDF">
        <w:rPr>
          <w:rFonts w:ascii="Times New Roman" w:hAnsi="Times New Roman" w:cs="Times New Roman"/>
          <w:b/>
          <w:sz w:val="24"/>
          <w:szCs w:val="24"/>
        </w:rPr>
        <w:t>References</w:t>
      </w:r>
    </w:p>
    <w:p w:rsidR="00B30F72" w:rsidRPr="00DA5EDF" w:rsidRDefault="00B30F72" w:rsidP="00B30F72">
      <w:pPr>
        <w:spacing w:after="0" w:line="480" w:lineRule="auto"/>
        <w:ind w:left="720" w:hanging="720"/>
        <w:rPr>
          <w:rFonts w:ascii="Times New Roman" w:hAnsi="Times New Roman" w:cs="Times New Roman"/>
          <w:sz w:val="24"/>
          <w:szCs w:val="24"/>
        </w:rPr>
      </w:pPr>
      <w:r w:rsidRPr="00DA5EDF">
        <w:rPr>
          <w:rFonts w:ascii="Times New Roman" w:hAnsi="Times New Roman" w:cs="Times New Roman"/>
          <w:sz w:val="24"/>
          <w:szCs w:val="24"/>
        </w:rPr>
        <w:t>Deutsch, M. B. (2016). Overview of feminizing hormone therapy. </w:t>
      </w:r>
      <w:r w:rsidRPr="00DA5EDF">
        <w:rPr>
          <w:rFonts w:ascii="Times New Roman" w:hAnsi="Times New Roman" w:cs="Times New Roman"/>
          <w:i/>
          <w:iCs/>
          <w:sz w:val="24"/>
          <w:szCs w:val="24"/>
        </w:rPr>
        <w:t>Center of Excellence for Transgender Health</w:t>
      </w:r>
      <w:r w:rsidRPr="00DA5EDF">
        <w:rPr>
          <w:rFonts w:ascii="Times New Roman" w:hAnsi="Times New Roman" w:cs="Times New Roman"/>
          <w:sz w:val="24"/>
          <w:szCs w:val="24"/>
        </w:rPr>
        <w:t xml:space="preserve">. Retrieved from </w:t>
      </w:r>
      <w:hyperlink r:id="rId4" w:history="1">
        <w:r w:rsidRPr="00DA5EDF">
          <w:rPr>
            <w:rStyle w:val="Hyperlink"/>
            <w:rFonts w:ascii="Times New Roman" w:hAnsi="Times New Roman" w:cs="Times New Roman"/>
            <w:sz w:val="24"/>
            <w:szCs w:val="24"/>
          </w:rPr>
          <w:t>https://transcare.ucsf.edu/guidelines/feminizing-hormone-therapy</w:t>
        </w:r>
      </w:hyperlink>
      <w:r w:rsidRPr="00DA5EDF">
        <w:rPr>
          <w:rFonts w:ascii="Times New Roman" w:hAnsi="Times New Roman" w:cs="Times New Roman"/>
          <w:sz w:val="24"/>
          <w:szCs w:val="24"/>
        </w:rPr>
        <w:t xml:space="preserve"> </w:t>
      </w:r>
    </w:p>
    <w:p w:rsidR="00B30F72" w:rsidRPr="00DA5EDF" w:rsidRDefault="00B30F72" w:rsidP="00B30F72">
      <w:pPr>
        <w:spacing w:after="0" w:line="480" w:lineRule="auto"/>
        <w:ind w:left="720" w:hanging="720"/>
        <w:rPr>
          <w:rFonts w:ascii="Times New Roman" w:hAnsi="Times New Roman" w:cs="Times New Roman"/>
          <w:sz w:val="24"/>
          <w:szCs w:val="24"/>
        </w:rPr>
      </w:pPr>
      <w:r w:rsidRPr="00DA5EDF">
        <w:rPr>
          <w:rFonts w:ascii="Times New Roman" w:hAnsi="Times New Roman" w:cs="Times New Roman"/>
          <w:color w:val="222222"/>
          <w:sz w:val="24"/>
          <w:szCs w:val="24"/>
          <w:shd w:val="clear" w:color="auto" w:fill="FFFFFF"/>
        </w:rPr>
        <w:t xml:space="preserve">Hashemi, L., </w:t>
      </w:r>
      <w:proofErr w:type="spellStart"/>
      <w:r w:rsidRPr="00DA5EDF">
        <w:rPr>
          <w:rFonts w:ascii="Times New Roman" w:hAnsi="Times New Roman" w:cs="Times New Roman"/>
          <w:color w:val="222222"/>
          <w:sz w:val="24"/>
          <w:szCs w:val="24"/>
          <w:shd w:val="clear" w:color="auto" w:fill="FFFFFF"/>
        </w:rPr>
        <w:t>Weinreb</w:t>
      </w:r>
      <w:proofErr w:type="spellEnd"/>
      <w:r w:rsidRPr="00DA5EDF">
        <w:rPr>
          <w:rFonts w:ascii="Times New Roman" w:hAnsi="Times New Roman" w:cs="Times New Roman"/>
          <w:color w:val="222222"/>
          <w:sz w:val="24"/>
          <w:szCs w:val="24"/>
          <w:shd w:val="clear" w:color="auto" w:fill="FFFFFF"/>
        </w:rPr>
        <w:t>, J., Weimer, A. K., &amp; Weiss, R. L. (2018). Transgender care in the primary care setting: a review of guidelines and literature. </w:t>
      </w:r>
      <w:r w:rsidRPr="00DA5EDF">
        <w:rPr>
          <w:rFonts w:ascii="Times New Roman" w:hAnsi="Times New Roman" w:cs="Times New Roman"/>
          <w:i/>
          <w:iCs/>
          <w:color w:val="222222"/>
          <w:sz w:val="24"/>
          <w:szCs w:val="24"/>
          <w:shd w:val="clear" w:color="auto" w:fill="FFFFFF"/>
        </w:rPr>
        <w:t>Federal Practitioner</w:t>
      </w:r>
      <w:r w:rsidRPr="00DA5EDF">
        <w:rPr>
          <w:rFonts w:ascii="Times New Roman" w:hAnsi="Times New Roman" w:cs="Times New Roman"/>
          <w:color w:val="222222"/>
          <w:sz w:val="24"/>
          <w:szCs w:val="24"/>
          <w:shd w:val="clear" w:color="auto" w:fill="FFFFFF"/>
        </w:rPr>
        <w:t>, </w:t>
      </w:r>
      <w:r w:rsidRPr="00DA5EDF">
        <w:rPr>
          <w:rFonts w:ascii="Times New Roman" w:hAnsi="Times New Roman" w:cs="Times New Roman"/>
          <w:i/>
          <w:iCs/>
          <w:color w:val="222222"/>
          <w:sz w:val="24"/>
          <w:szCs w:val="24"/>
          <w:shd w:val="clear" w:color="auto" w:fill="FFFFFF"/>
        </w:rPr>
        <w:t>35</w:t>
      </w:r>
      <w:r w:rsidRPr="00DA5EDF">
        <w:rPr>
          <w:rFonts w:ascii="Times New Roman" w:hAnsi="Times New Roman" w:cs="Times New Roman"/>
          <w:color w:val="222222"/>
          <w:sz w:val="24"/>
          <w:szCs w:val="24"/>
          <w:shd w:val="clear" w:color="auto" w:fill="FFFFFF"/>
        </w:rPr>
        <w:t xml:space="preserve">(7), 30. Retrieved from </w:t>
      </w:r>
      <w:hyperlink r:id="rId5" w:history="1">
        <w:r w:rsidRPr="00DA5EDF">
          <w:rPr>
            <w:rStyle w:val="Hyperlink"/>
            <w:rFonts w:ascii="Times New Roman" w:hAnsi="Times New Roman" w:cs="Times New Roman"/>
            <w:sz w:val="24"/>
            <w:szCs w:val="24"/>
            <w:shd w:val="clear" w:color="auto" w:fill="FFFFFF"/>
          </w:rPr>
          <w:t>https://www.ncbi.nlm.nih.gov/pmc/articles/PMC6368014/</w:t>
        </w:r>
      </w:hyperlink>
      <w:r w:rsidRPr="00DA5EDF">
        <w:rPr>
          <w:rFonts w:ascii="Times New Roman" w:hAnsi="Times New Roman" w:cs="Times New Roman"/>
          <w:color w:val="222222"/>
          <w:sz w:val="24"/>
          <w:szCs w:val="24"/>
          <w:shd w:val="clear" w:color="auto" w:fill="FFFFFF"/>
        </w:rPr>
        <w:t xml:space="preserve"> </w:t>
      </w:r>
    </w:p>
    <w:p w:rsidR="000B6F56" w:rsidRDefault="000B6F56"/>
    <w:sectPr w:rsidR="000B6F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B30F72"/>
    <w:rsid w:val="000B6F56"/>
    <w:rsid w:val="00142E15"/>
    <w:rsid w:val="00832600"/>
    <w:rsid w:val="00B30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17ECF9-53EA-48EB-A477-610D9714B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0F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30F7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30F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cbi.nlm.nih.gov/pmc/articles/PMC6368014/" TargetMode="External"/><Relationship Id="rId4" Type="http://schemas.openxmlformats.org/officeDocument/2006/relationships/hyperlink" Target="https://transcare.ucsf.edu/guidelines/feminizing-hormone-thera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2377</Characters>
  <Application>Microsoft Office Word</Application>
  <DocSecurity>0</DocSecurity>
  <Lines>19</Lines>
  <Paragraphs>5</Paragraphs>
  <ScaleCrop>false</ScaleCrop>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cp:revision>
  <dcterms:created xsi:type="dcterms:W3CDTF">2022-08-31T04:19:00Z</dcterms:created>
  <dcterms:modified xsi:type="dcterms:W3CDTF">2022-08-31T04:19:00Z</dcterms:modified>
</cp:coreProperties>
</file>