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76F8C" w14:textId="77777777" w:rsidR="00A17B60" w:rsidRDefault="00A17B60" w:rsidP="00A17B60">
      <w:pPr>
        <w:pStyle w:val="ListParagraph"/>
        <w:numPr>
          <w:ilvl w:val="0"/>
          <w:numId w:val="2"/>
        </w:numPr>
      </w:pPr>
      <w:r>
        <w:t>Peptic ulcer disease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2152"/>
        <w:gridCol w:w="1829"/>
        <w:gridCol w:w="1928"/>
        <w:gridCol w:w="1563"/>
      </w:tblGrid>
      <w:tr w:rsidR="00A17B60" w14:paraId="2C012395" w14:textId="77777777" w:rsidTr="00A17B6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30FD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Describe It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3FBC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Pathophysiology of It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09CF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Risk Factors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FD14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Signs and Symptoms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A88E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 xml:space="preserve">Specific Lab Values </w:t>
            </w:r>
          </w:p>
        </w:tc>
      </w:tr>
      <w:tr w:rsidR="00A17B60" w14:paraId="4350C5BF" w14:textId="77777777" w:rsidTr="00A17B6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D65B" w14:textId="6F17BA1A" w:rsidR="00A17B60" w:rsidRDefault="008E3CCC">
            <w:pPr>
              <w:pStyle w:val="Body"/>
              <w:snapToGrid w:val="0"/>
            </w:pPr>
            <w:r>
              <w:t xml:space="preserve">Peptic ulcers are open sores on the stomach lining, the proximal duodenum, and the lower esophagus. </w:t>
            </w:r>
          </w:p>
          <w:p w14:paraId="2E3248FC" w14:textId="77777777" w:rsidR="00A17B60" w:rsidRDefault="00A17B60">
            <w:pPr>
              <w:pStyle w:val="Body"/>
              <w:snapToGrid w:val="0"/>
            </w:pPr>
          </w:p>
          <w:p w14:paraId="5A26C2E9" w14:textId="77777777" w:rsidR="00A17B60" w:rsidRDefault="00A17B60">
            <w:pPr>
              <w:pStyle w:val="Body"/>
              <w:snapToGri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5CE8" w14:textId="4E21E1EF" w:rsidR="00A17B60" w:rsidRDefault="008E3CCC">
            <w:pPr>
              <w:pStyle w:val="Body"/>
              <w:snapToGrid w:val="0"/>
            </w:pPr>
            <w:r>
              <w:t>When acid or pepsin gets to the mucosal wall, the tissues become susceptible to destruction by the acid which gets into the gastric barrier.</w:t>
            </w:r>
            <w:r w:rsidR="005909B1">
              <w:t xml:space="preserve"> The ulcer can spread to the muscularis and form holes. When there is further erosion to the blood vessels, bleeding occurs. </w:t>
            </w:r>
            <w:r w:rsidR="00F02DEC">
              <w:t xml:space="preserve"> The amount of blood lost depends on the type of blood vessel eroded.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F837" w14:textId="28824E16" w:rsidR="00A17B60" w:rsidRDefault="00F02DEC">
            <w:pPr>
              <w:pStyle w:val="Body"/>
              <w:snapToGrid w:val="0"/>
            </w:pPr>
            <w:r>
              <w:t xml:space="preserve">Infection by </w:t>
            </w:r>
            <w:proofErr w:type="spellStart"/>
            <w:proofErr w:type="gramStart"/>
            <w:r>
              <w:t>H.pylori</w:t>
            </w:r>
            <w:proofErr w:type="spellEnd"/>
            <w:proofErr w:type="gramEnd"/>
            <w:r>
              <w:t xml:space="preserve">, stress, smoking, increased production of glucocorticoid, alcohol, aspirin, NSAIDs, chronic gastritis.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17D8" w14:textId="7D5C26FC" w:rsidR="00A17B60" w:rsidRDefault="003B72F9">
            <w:pPr>
              <w:pStyle w:val="Body"/>
              <w:snapToGrid w:val="0"/>
            </w:pPr>
            <w:r>
              <w:t>Abdominal discomfort, heartburn, vomiting, nausea, loss of weight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8659" w14:textId="461A3313" w:rsidR="00A17B60" w:rsidRDefault="00F02DEC">
            <w:pPr>
              <w:pStyle w:val="Body"/>
              <w:snapToGrid w:val="0"/>
            </w:pPr>
            <w:r>
              <w:t>Presence of blood in stool, anemia</w:t>
            </w:r>
          </w:p>
        </w:tc>
      </w:tr>
    </w:tbl>
    <w:p w14:paraId="0CBEF9D2" w14:textId="77777777" w:rsidR="00A17B60" w:rsidRDefault="00A17B60" w:rsidP="00A17B60"/>
    <w:p w14:paraId="1582A111" w14:textId="77777777" w:rsidR="00A17B60" w:rsidRDefault="00A17B60" w:rsidP="00A17B60">
      <w:pPr>
        <w:pStyle w:val="ListParagraph"/>
        <w:numPr>
          <w:ilvl w:val="0"/>
          <w:numId w:val="2"/>
        </w:numPr>
      </w:pPr>
      <w:r>
        <w:t>Stress ulcers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2152"/>
        <w:gridCol w:w="1829"/>
        <w:gridCol w:w="1928"/>
        <w:gridCol w:w="1563"/>
      </w:tblGrid>
      <w:tr w:rsidR="00A17B60" w14:paraId="0A5AFC02" w14:textId="77777777" w:rsidTr="00A17B6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D05B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Describe It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2254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Pathophysiology of It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C03E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Risk Factors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C831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Signs and Symptoms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C615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 xml:space="preserve">Specific Lab Values </w:t>
            </w:r>
          </w:p>
        </w:tc>
      </w:tr>
      <w:tr w:rsidR="00A17B60" w14:paraId="3A01D1E0" w14:textId="77777777" w:rsidTr="00A17B6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8D2D" w14:textId="5714238C" w:rsidR="00A17B60" w:rsidRDefault="003B72F9">
            <w:pPr>
              <w:pStyle w:val="Body"/>
              <w:snapToGrid w:val="0"/>
            </w:pPr>
            <w:r>
              <w:t xml:space="preserve">Stress ulcers are sores that come as a result of excess trauma that include burns and bruises in the head or can be associated with </w:t>
            </w:r>
            <w:r w:rsidR="009B0A27">
              <w:t xml:space="preserve">severe systemic issues including sepsis and hemorrhage. </w:t>
            </w:r>
          </w:p>
          <w:p w14:paraId="2E6ED6E2" w14:textId="77777777" w:rsidR="00A17B60" w:rsidRDefault="00A17B60">
            <w:pPr>
              <w:pStyle w:val="Body"/>
              <w:snapToGrid w:val="0"/>
            </w:pPr>
          </w:p>
          <w:p w14:paraId="6D366647" w14:textId="77777777" w:rsidR="00A17B60" w:rsidRDefault="00A17B60">
            <w:pPr>
              <w:pStyle w:val="Body"/>
              <w:snapToGri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AB40" w14:textId="39AF6B62" w:rsidR="00A17B60" w:rsidRDefault="009B0A27">
            <w:pPr>
              <w:pStyle w:val="Body"/>
              <w:snapToGrid w:val="0"/>
            </w:pPr>
            <w:r>
              <w:t>Stress ulcers occur when several ulcers</w:t>
            </w:r>
            <w:r w:rsidR="006D3636">
              <w:t xml:space="preserve"> especially gastric ulcers form after an occasion that </w:t>
            </w:r>
            <w:r w:rsidR="00D22ED2">
              <w:t xml:space="preserve">triggers the development of the ulcers causing lower production of mucus and epithelial reformation. This leads to the destruction of the mucosal wall and therefore acid gets </w:t>
            </w:r>
            <w:r w:rsidR="001154B5">
              <w:t>into</w:t>
            </w:r>
            <w:r w:rsidR="00D22ED2">
              <w:t xml:space="preserve"> the mucosa.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A105" w14:textId="5AC29C29" w:rsidR="00A17B60" w:rsidRDefault="009B0A27">
            <w:pPr>
              <w:pStyle w:val="Body"/>
              <w:snapToGrid w:val="0"/>
            </w:pPr>
            <w:proofErr w:type="gramStart"/>
            <w:r>
              <w:t>Serious</w:t>
            </w:r>
            <w:proofErr w:type="gramEnd"/>
            <w:r>
              <w:t xml:space="preserve"> trauma, severe head injury, shock, surgery, 30% BSA burns.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36CC" w14:textId="0640F5D4" w:rsidR="00A17B60" w:rsidRDefault="009B0A27">
            <w:pPr>
              <w:pStyle w:val="Body"/>
              <w:snapToGrid w:val="0"/>
            </w:pPr>
            <w:r>
              <w:t xml:space="preserve">Vomiting, nausea, internal bleeding, blood in stool appearing dark, presence of blood in vomits, discomfort after food consumption.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253A" w14:textId="68AC10FE" w:rsidR="00A17B60" w:rsidRDefault="003B72F9">
            <w:pPr>
              <w:pStyle w:val="Body"/>
              <w:snapToGrid w:val="0"/>
            </w:pPr>
            <w:r>
              <w:t>hemorrhage</w:t>
            </w:r>
          </w:p>
        </w:tc>
      </w:tr>
    </w:tbl>
    <w:p w14:paraId="72DD53DE" w14:textId="77777777" w:rsidR="00A17B60" w:rsidRDefault="00A17B60" w:rsidP="00A17B60"/>
    <w:p w14:paraId="2FE74F28" w14:textId="77777777" w:rsidR="00A17B60" w:rsidRDefault="00A17B60" w:rsidP="00A17B60">
      <w:pPr>
        <w:pStyle w:val="ListParagraph"/>
        <w:numPr>
          <w:ilvl w:val="0"/>
          <w:numId w:val="2"/>
        </w:numPr>
      </w:pPr>
      <w:r>
        <w:t>Gastric cancer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2152"/>
        <w:gridCol w:w="1829"/>
        <w:gridCol w:w="1928"/>
      </w:tblGrid>
      <w:tr w:rsidR="00A17B60" w14:paraId="00FCCCAA" w14:textId="77777777" w:rsidTr="00A17B6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6D66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Describe It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C0EB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Pathophysiology of It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A933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Risk Factors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DB59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Signs and Symptoms</w:t>
            </w:r>
          </w:p>
        </w:tc>
      </w:tr>
      <w:tr w:rsidR="00A17B60" w14:paraId="5A126C5E" w14:textId="77777777" w:rsidTr="00A17B6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3560" w14:textId="5A457D62" w:rsidR="00A17B60" w:rsidRDefault="001154B5">
            <w:pPr>
              <w:pStyle w:val="Body"/>
              <w:snapToGrid w:val="0"/>
            </w:pPr>
            <w:r>
              <w:t>Gastric cancer occurs when cancerous cells form and develop in the stomach lining.</w:t>
            </w:r>
          </w:p>
          <w:p w14:paraId="3CC096BE" w14:textId="77777777" w:rsidR="00A17B60" w:rsidRDefault="00A17B60">
            <w:pPr>
              <w:pStyle w:val="Body"/>
              <w:snapToGrid w:val="0"/>
            </w:pPr>
          </w:p>
          <w:p w14:paraId="4363C792" w14:textId="77777777" w:rsidR="00A17B60" w:rsidRDefault="00A17B60">
            <w:pPr>
              <w:pStyle w:val="Body"/>
              <w:snapToGri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0FFE" w14:textId="7BAB5B62" w:rsidR="00A17B60" w:rsidRDefault="001154B5">
            <w:pPr>
              <w:pStyle w:val="Body"/>
              <w:snapToGrid w:val="0"/>
            </w:pPr>
            <w:r>
              <w:t xml:space="preserve">Gastric cancer begins initially in the mucous glands, </w:t>
            </w:r>
            <w:r w:rsidR="0085374F">
              <w:t xml:space="preserve">the </w:t>
            </w:r>
            <w:r>
              <w:t xml:space="preserve">majority of the growth takes </w:t>
            </w:r>
            <w:r w:rsidR="0085374F">
              <w:t xml:space="preserve">place </w:t>
            </w:r>
            <w:r>
              <w:t>in</w:t>
            </w:r>
            <w:r w:rsidR="0085374F">
              <w:t xml:space="preserve"> the</w:t>
            </w:r>
            <w:r>
              <w:t xml:space="preserve"> pyloric region or antrum while others </w:t>
            </w:r>
            <w:r w:rsidR="0085374F">
              <w:t xml:space="preserve">destroy the lesser curvature in the stomach. This results in a higher number of </w:t>
            </w:r>
            <w:r w:rsidR="00043A16">
              <w:t>growths</w:t>
            </w:r>
            <w:r w:rsidR="0085374F">
              <w:t xml:space="preserve"> on </w:t>
            </w:r>
            <w:r w:rsidR="0085374F">
              <w:lastRenderedPageBreak/>
              <w:t>the upper stomach close to the esophagus opening. Therefore, there is an increased likelihood of glandular tissue cancer occurring. The wound is usually a cancerous type. Gastric cancer ends up affecting the gastric wall in other cases.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68F4" w14:textId="63E7B978" w:rsidR="00A17B60" w:rsidRDefault="0085374F">
            <w:pPr>
              <w:pStyle w:val="Body"/>
              <w:snapToGrid w:val="0"/>
            </w:pPr>
            <w:proofErr w:type="spellStart"/>
            <w:proofErr w:type="gramStart"/>
            <w:r>
              <w:lastRenderedPageBreak/>
              <w:t>H.pylori</w:t>
            </w:r>
            <w:proofErr w:type="spellEnd"/>
            <w:proofErr w:type="gramEnd"/>
            <w:r>
              <w:t xml:space="preserve"> infection, food preservatives, genetic factors, chronic gastritis, diet.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1EC7" w14:textId="6529FBCC" w:rsidR="00A17B60" w:rsidRDefault="00E8571E">
            <w:pPr>
              <w:pStyle w:val="Body"/>
              <w:snapToGrid w:val="0"/>
            </w:pPr>
            <w:r>
              <w:t xml:space="preserve">Bloating, fatigue, feeling full after the intake of </w:t>
            </w:r>
            <w:r w:rsidR="004232D6">
              <w:t xml:space="preserve">a </w:t>
            </w:r>
            <w:r>
              <w:t xml:space="preserve">small </w:t>
            </w:r>
            <w:r w:rsidR="00043A16">
              <w:t xml:space="preserve">quantity of food, </w:t>
            </w:r>
            <w:r w:rsidR="004232D6">
              <w:t xml:space="preserve">and </w:t>
            </w:r>
            <w:r w:rsidR="00043A16">
              <w:t xml:space="preserve">blood in </w:t>
            </w:r>
            <w:r w:rsidR="004232D6">
              <w:t xml:space="preserve">the </w:t>
            </w:r>
            <w:r w:rsidR="00043A16">
              <w:t>stool.</w:t>
            </w:r>
          </w:p>
        </w:tc>
      </w:tr>
    </w:tbl>
    <w:p w14:paraId="0FD43535" w14:textId="77777777" w:rsidR="00A17B60" w:rsidRDefault="00A17B60" w:rsidP="00A17B60"/>
    <w:p w14:paraId="5B09EAAC" w14:textId="77777777" w:rsidR="00A17B60" w:rsidRDefault="00A17B60" w:rsidP="00A17B60">
      <w:pPr>
        <w:pStyle w:val="ListParagraph"/>
        <w:numPr>
          <w:ilvl w:val="0"/>
          <w:numId w:val="2"/>
        </w:numPr>
      </w:pPr>
      <w:r>
        <w:t>Pyloric stenosis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2152"/>
        <w:gridCol w:w="1829"/>
        <w:gridCol w:w="1928"/>
      </w:tblGrid>
      <w:tr w:rsidR="00A17B60" w14:paraId="34B236F4" w14:textId="77777777" w:rsidTr="00A17B6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C012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Describe It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487C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Pathophysiology of It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7DA2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Risk Factors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E9FB8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Signs and Symptoms</w:t>
            </w:r>
          </w:p>
        </w:tc>
      </w:tr>
      <w:tr w:rsidR="00A17B60" w14:paraId="78B59D4D" w14:textId="77777777" w:rsidTr="00A17B6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F1B4" w14:textId="5C33C63B" w:rsidR="00A17B60" w:rsidRDefault="00023D10">
            <w:pPr>
              <w:pStyle w:val="Body"/>
              <w:snapToGrid w:val="0"/>
            </w:pPr>
            <w:r>
              <w:t xml:space="preserve">Pyloric stenosis is the thinning and interference of the pyloric sphincter. The condition can be present in young children as a growth defect or be present in their </w:t>
            </w:r>
            <w:r w:rsidR="00721495">
              <w:t>later</w:t>
            </w:r>
            <w:r>
              <w:t xml:space="preserve"> life and be shown as the availability of fibrous scar tissue. </w:t>
            </w:r>
          </w:p>
          <w:p w14:paraId="0A2F4FAD" w14:textId="77777777" w:rsidR="00A17B60" w:rsidRDefault="00A17B60">
            <w:pPr>
              <w:pStyle w:val="Body"/>
              <w:snapToGrid w:val="0"/>
            </w:pPr>
          </w:p>
          <w:p w14:paraId="541045B0" w14:textId="77777777" w:rsidR="00A17B60" w:rsidRDefault="00A17B60">
            <w:pPr>
              <w:pStyle w:val="Body"/>
              <w:snapToGri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405D" w14:textId="73822CA5" w:rsidR="00A17B60" w:rsidRDefault="00993604">
            <w:pPr>
              <w:pStyle w:val="Body"/>
              <w:snapToGrid w:val="0"/>
            </w:pPr>
            <w:r>
              <w:t>The circular and longitudinal muscular layers of the pylorus incre</w:t>
            </w:r>
            <w:r w:rsidR="00206993">
              <w:t>ase and grow in size as a result of an increased reproduction rate of its cells. This leads to a functional gastric obstruction blocking food from getting to the infant</w:t>
            </w:r>
            <w:r w:rsidR="00206993">
              <w:t>’</w:t>
            </w:r>
            <w:r w:rsidR="00206993">
              <w:t>s intestine.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F7F1" w14:textId="124B6131" w:rsidR="00A17B60" w:rsidRDefault="00993604">
            <w:pPr>
              <w:pStyle w:val="Body"/>
              <w:snapToGrid w:val="0"/>
            </w:pPr>
            <w:r>
              <w:t>Smoking during pregnancy, genetic factors, male sex, bottle feeding, intake of certain antibiotic</w:t>
            </w:r>
            <w:r w:rsidR="00206993">
              <w:t>s</w:t>
            </w:r>
            <w:r>
              <w:t xml:space="preserve">, Caucasian race, being a </w:t>
            </w:r>
            <w:r w:rsidR="00206993">
              <w:t>firstborn</w:t>
            </w:r>
            <w:r>
              <w:t>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AF51" w14:textId="168755D6" w:rsidR="00A17B60" w:rsidRDefault="00721495">
            <w:pPr>
              <w:pStyle w:val="Body"/>
              <w:snapToGrid w:val="0"/>
            </w:pPr>
            <w:r>
              <w:t>Swallowed food going back to the mouth, vomiting after intake of food, small stools w</w:t>
            </w:r>
            <w:r w:rsidR="00993604">
              <w:t xml:space="preserve">hose production </w:t>
            </w:r>
            <w:r w:rsidR="00206993">
              <w:t>is</w:t>
            </w:r>
            <w:r w:rsidR="00993604">
              <w:t xml:space="preserve"> reduced, the child does not add weight, dehydration, irritation due to increased starvation. </w:t>
            </w:r>
          </w:p>
        </w:tc>
      </w:tr>
    </w:tbl>
    <w:p w14:paraId="6A607BF2" w14:textId="77777777" w:rsidR="00A17B60" w:rsidRDefault="00A17B60" w:rsidP="00A17B60"/>
    <w:p w14:paraId="127FDF30" w14:textId="77777777" w:rsidR="00A17B60" w:rsidRDefault="00A17B60" w:rsidP="00A17B60">
      <w:pPr>
        <w:pStyle w:val="ListParagraph"/>
        <w:numPr>
          <w:ilvl w:val="0"/>
          <w:numId w:val="2"/>
        </w:numPr>
      </w:pPr>
      <w:r>
        <w:t>Dumping syndrome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2152"/>
        <w:gridCol w:w="1829"/>
        <w:gridCol w:w="1928"/>
      </w:tblGrid>
      <w:tr w:rsidR="00A17B60" w14:paraId="167C8AAB" w14:textId="77777777" w:rsidTr="00A17B6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F9F8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Describe It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8E83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Pathophysiology of It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1541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Risk Factors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140A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Signs and Symptoms</w:t>
            </w:r>
          </w:p>
        </w:tc>
      </w:tr>
      <w:tr w:rsidR="00A17B60" w14:paraId="2BE2E3C9" w14:textId="77777777" w:rsidTr="00A17B6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7D17" w14:textId="5C4D1BF7" w:rsidR="00A17B60" w:rsidRDefault="00E5486A">
            <w:pPr>
              <w:pStyle w:val="Body"/>
              <w:snapToGrid w:val="0"/>
            </w:pPr>
            <w:r>
              <w:t xml:space="preserve">Dumping syndrome is a condition where huge solid food gets dumped quickly into the intestines. </w:t>
            </w:r>
          </w:p>
          <w:p w14:paraId="392BB352" w14:textId="77777777" w:rsidR="00A17B60" w:rsidRDefault="00A17B60">
            <w:pPr>
              <w:pStyle w:val="Body"/>
              <w:snapToGrid w:val="0"/>
            </w:pPr>
          </w:p>
          <w:p w14:paraId="5C8B3411" w14:textId="77777777" w:rsidR="00A17B60" w:rsidRDefault="00A17B60">
            <w:pPr>
              <w:pStyle w:val="Body"/>
              <w:snapToGri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63DD" w14:textId="57D9C2B6" w:rsidR="00A17B60" w:rsidRDefault="00396023">
            <w:pPr>
              <w:pStyle w:val="Body"/>
              <w:snapToGrid w:val="0"/>
            </w:pPr>
            <w:r>
              <w:t xml:space="preserve">The condition occurs </w:t>
            </w:r>
            <w:r w:rsidR="00045BE3">
              <w:t>because</w:t>
            </w:r>
            <w:r>
              <w:t xml:space="preserve"> there is a lack of control </w:t>
            </w:r>
            <w:r w:rsidR="00045BE3">
              <w:t>over</w:t>
            </w:r>
            <w:r>
              <w:t xml:space="preserve"> gastric excretion due to the removal of the pyloric sphincter. </w:t>
            </w:r>
            <w:r w:rsidR="00045BE3">
              <w:t xml:space="preserve">This prevents food from being stored in the stomach for digestion. The hyperosmolar chyme takes more liquid from the vascular compartment and takes it to the intestine causing expansion and </w:t>
            </w:r>
            <w:r w:rsidR="00045BE3">
              <w:lastRenderedPageBreak/>
              <w:t xml:space="preserve">increased flexibility of the intestine. 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0081" w14:textId="0D4344F5" w:rsidR="00A17B60" w:rsidRDefault="00045BE3">
            <w:pPr>
              <w:pStyle w:val="Body"/>
              <w:snapToGrid w:val="0"/>
            </w:pPr>
            <w:r>
              <w:lastRenderedPageBreak/>
              <w:t>Surgery, gastrectomy, esophagectomy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524B" w14:textId="16ADA8D0" w:rsidR="00A17B60" w:rsidRDefault="00045BE3">
            <w:pPr>
              <w:pStyle w:val="Body"/>
              <w:snapToGrid w:val="0"/>
            </w:pPr>
            <w:r>
              <w:t xml:space="preserve">Abdominal pain, nausea, diarrhea, dizziness, fatigue, sweating, increased pulse, hypoglycemia after eating, </w:t>
            </w:r>
            <w:r w:rsidR="00023D10">
              <w:t>tremors, increased blood sugar levels</w:t>
            </w:r>
            <w:r w:rsidR="004232D6">
              <w:t>,</w:t>
            </w:r>
            <w:r w:rsidR="00023D10">
              <w:t xml:space="preserve"> and insulin production.</w:t>
            </w:r>
          </w:p>
        </w:tc>
      </w:tr>
    </w:tbl>
    <w:p w14:paraId="3A495602" w14:textId="77777777" w:rsidR="00A17B60" w:rsidRDefault="00A17B60" w:rsidP="00A17B60"/>
    <w:p w14:paraId="2A756936" w14:textId="77777777" w:rsidR="00A17B60" w:rsidRDefault="00A17B60" w:rsidP="00A17B60">
      <w:pPr>
        <w:pStyle w:val="ListParagraph"/>
        <w:numPr>
          <w:ilvl w:val="0"/>
          <w:numId w:val="2"/>
        </w:numPr>
      </w:pPr>
      <w:r>
        <w:t>Jaundice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2152"/>
        <w:gridCol w:w="1829"/>
        <w:gridCol w:w="1928"/>
        <w:gridCol w:w="1563"/>
      </w:tblGrid>
      <w:tr w:rsidR="00A17B60" w14:paraId="50A7842F" w14:textId="77777777" w:rsidTr="00A17B6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1854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Describe It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34F1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Pathophysiology of It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E714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Risk Factors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C8D4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Signs and Symptoms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2956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 xml:space="preserve">Specific Lab Values </w:t>
            </w:r>
          </w:p>
        </w:tc>
      </w:tr>
      <w:tr w:rsidR="00A17B60" w14:paraId="03BC424D" w14:textId="77777777" w:rsidTr="00A17B6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E4E7" w14:textId="04B81666" w:rsidR="00A17B60" w:rsidRDefault="00206993">
            <w:pPr>
              <w:pStyle w:val="Body"/>
              <w:snapToGrid w:val="0"/>
            </w:pPr>
            <w:r>
              <w:t xml:space="preserve">Jaundice is the yellowing of the skin and different tissues due to increased rates of bilirubin in </w:t>
            </w:r>
            <w:r w:rsidR="004232D6">
              <w:t xml:space="preserve">the </w:t>
            </w:r>
            <w:r>
              <w:t>blood. The yellow color is initially present in the sclera.</w:t>
            </w:r>
          </w:p>
          <w:p w14:paraId="630845FC" w14:textId="77777777" w:rsidR="00A17B60" w:rsidRDefault="00A17B60">
            <w:pPr>
              <w:pStyle w:val="Body"/>
              <w:snapToGrid w:val="0"/>
            </w:pPr>
          </w:p>
          <w:p w14:paraId="4F71CD1B" w14:textId="77777777" w:rsidR="00A17B60" w:rsidRDefault="00A17B60">
            <w:pPr>
              <w:pStyle w:val="Body"/>
              <w:snapToGri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689D" w14:textId="7B580B2A" w:rsidR="00A17B60" w:rsidRDefault="009A108A">
            <w:pPr>
              <w:pStyle w:val="Body"/>
              <w:snapToGrid w:val="0"/>
            </w:pPr>
            <w:r>
              <w:t xml:space="preserve">The bilirubin created from the breakdown of red blood cells combines with albumin in the blood and moves to the liver. The hepatocytes in the liver </w:t>
            </w:r>
            <w:r w:rsidR="004232D6">
              <w:t>take</w:t>
            </w:r>
            <w:r>
              <w:t xml:space="preserve"> it and it is combined with glucuronic acid and it becomes water soluble. The </w:t>
            </w:r>
            <w:r w:rsidR="004232D6">
              <w:t>water-soluble</w:t>
            </w:r>
            <w:r>
              <w:t xml:space="preserve"> bilirubin is produced in bile and gets to the du</w:t>
            </w:r>
            <w:r w:rsidR="00571F03">
              <w:t>o</w:t>
            </w:r>
            <w:r>
              <w:t>denum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26C7" w14:textId="49AC0E24" w:rsidR="00A17B60" w:rsidRDefault="009A108A">
            <w:pPr>
              <w:pStyle w:val="Body"/>
              <w:snapToGrid w:val="0"/>
            </w:pPr>
            <w:r>
              <w:t xml:space="preserve">Liver disease caused by alcohol consumption, inflammatory </w:t>
            </w:r>
            <w:r w:rsidR="004232D6">
              <w:t>hepatitis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6EAB" w14:textId="7682CC44" w:rsidR="00A17B60" w:rsidRDefault="003F5B70">
            <w:pPr>
              <w:pStyle w:val="Body"/>
              <w:snapToGrid w:val="0"/>
            </w:pPr>
            <w:r>
              <w:t>Fever, dark urine and stool,</w:t>
            </w:r>
            <w:r w:rsidR="004232D6">
              <w:t xml:space="preserve"> </w:t>
            </w:r>
            <w:r>
              <w:t>abdominal pain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6FD0" w14:textId="4673E0C4" w:rsidR="00A17B60" w:rsidRDefault="003F5B70">
            <w:pPr>
              <w:pStyle w:val="Body"/>
              <w:snapToGrid w:val="0"/>
            </w:pPr>
            <w:r w:rsidRPr="003F5B70">
              <w:t>2.0 mg/dL</w:t>
            </w:r>
            <w:r>
              <w:t xml:space="preserve"> bilirubin level in blood</w:t>
            </w:r>
          </w:p>
        </w:tc>
      </w:tr>
    </w:tbl>
    <w:p w14:paraId="68483F3D" w14:textId="77777777" w:rsidR="00A17B60" w:rsidRDefault="00A17B60" w:rsidP="00A17B60"/>
    <w:p w14:paraId="36AEFB00" w14:textId="77777777" w:rsidR="00A17B60" w:rsidRDefault="00A17B60" w:rsidP="00A17B60">
      <w:pPr>
        <w:pStyle w:val="ListParagraph"/>
        <w:numPr>
          <w:ilvl w:val="0"/>
          <w:numId w:val="2"/>
        </w:numPr>
      </w:pPr>
      <w:r>
        <w:t>Hepatitis A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2152"/>
        <w:gridCol w:w="1829"/>
        <w:gridCol w:w="1928"/>
        <w:gridCol w:w="1563"/>
      </w:tblGrid>
      <w:tr w:rsidR="00A17B60" w14:paraId="53DD3695" w14:textId="77777777" w:rsidTr="00A17B6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01CB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Describe It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BDEF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Pathophysiology of It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56F5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Risk Factors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4ECBD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Signs and Symptoms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F2B0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 xml:space="preserve">Specific Lab Values </w:t>
            </w:r>
          </w:p>
        </w:tc>
      </w:tr>
      <w:tr w:rsidR="00A17B60" w14:paraId="44B1D5C1" w14:textId="77777777" w:rsidTr="00A17B6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DAA7" w14:textId="13ACA1C1" w:rsidR="00A17B60" w:rsidRDefault="009356A0">
            <w:pPr>
              <w:pStyle w:val="Body"/>
              <w:snapToGrid w:val="0"/>
            </w:pPr>
            <w:r>
              <w:t xml:space="preserve">Hepatitis A is the viral inflammation of the liver and the virus responsible is the Hepatitis A virus. </w:t>
            </w:r>
          </w:p>
          <w:p w14:paraId="2568216B" w14:textId="77777777" w:rsidR="00A17B60" w:rsidRDefault="00A17B60">
            <w:pPr>
              <w:pStyle w:val="Body"/>
              <w:snapToGrid w:val="0"/>
            </w:pPr>
          </w:p>
          <w:p w14:paraId="26D6DD2A" w14:textId="77777777" w:rsidR="00A17B60" w:rsidRDefault="00A17B60">
            <w:pPr>
              <w:pStyle w:val="Body"/>
              <w:snapToGri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5F30" w14:textId="1C55E268" w:rsidR="00A17B60" w:rsidRDefault="009356A0">
            <w:pPr>
              <w:pStyle w:val="Body"/>
              <w:snapToGrid w:val="0"/>
            </w:pPr>
            <w:r>
              <w:t xml:space="preserve">The onset of hepatitis A begins with the ingestion of the virus via the oral-fecal path by </w:t>
            </w:r>
            <w:r w:rsidR="002F0C6F">
              <w:t xml:space="preserve">infected water </w:t>
            </w:r>
            <w:r>
              <w:t>and is seen in the liver. 10 to 12 days later, the virus can be found in the blood.</w:t>
            </w:r>
            <w:r w:rsidR="002F0C6F">
              <w:t xml:space="preserve"> The incubation period of Hepatitis A is not long and goes for 2 to 6 weeks.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807D" w14:textId="3DD3BA2B" w:rsidR="00A17B60" w:rsidRDefault="009356A0">
            <w:pPr>
              <w:pStyle w:val="Body"/>
              <w:snapToGrid w:val="0"/>
            </w:pPr>
            <w:r>
              <w:t>Poor hygiene, unsafe drinking water</w:t>
            </w:r>
            <w:r w:rsidR="002F0C6F">
              <w:t>, liver disease.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2342" w14:textId="5AF32DD7" w:rsidR="00A17B60" w:rsidRDefault="009356A0">
            <w:pPr>
              <w:pStyle w:val="Body"/>
              <w:snapToGrid w:val="0"/>
            </w:pPr>
            <w:r>
              <w:t>Diarrhea, yellowing of the skin, nausea, reduced appetite, dark urine.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91BD" w14:textId="67833759" w:rsidR="00A17B60" w:rsidRDefault="004232D6">
            <w:pPr>
              <w:pStyle w:val="Body"/>
              <w:snapToGrid w:val="0"/>
            </w:pPr>
            <w:r>
              <w:t>The presence</w:t>
            </w:r>
            <w:r w:rsidR="002F0C6F">
              <w:t xml:space="preserve"> of </w:t>
            </w:r>
            <w:r>
              <w:t xml:space="preserve">the </w:t>
            </w:r>
            <w:r w:rsidR="002F0C6F">
              <w:t>Hepatitis A virus</w:t>
            </w:r>
            <w:r>
              <w:t>,</w:t>
            </w:r>
            <w:r w:rsidR="002F0C6F">
              <w:t xml:space="preserve"> increased conjugated bilirubin, and liver enzymes.</w:t>
            </w:r>
          </w:p>
        </w:tc>
      </w:tr>
    </w:tbl>
    <w:p w14:paraId="75621BA3" w14:textId="77777777" w:rsidR="00A17B60" w:rsidRDefault="00A17B60" w:rsidP="00A17B60"/>
    <w:p w14:paraId="4FCB23D7" w14:textId="77777777" w:rsidR="00A17B60" w:rsidRDefault="00A17B60" w:rsidP="00A17B60">
      <w:pPr>
        <w:pStyle w:val="ListParagraph"/>
        <w:numPr>
          <w:ilvl w:val="0"/>
          <w:numId w:val="2"/>
        </w:numPr>
      </w:pPr>
      <w:r>
        <w:t>Hepatitis B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2152"/>
        <w:gridCol w:w="1829"/>
        <w:gridCol w:w="1928"/>
        <w:gridCol w:w="1563"/>
      </w:tblGrid>
      <w:tr w:rsidR="00A17B60" w14:paraId="5529EEF0" w14:textId="77777777" w:rsidTr="00A17B6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AD10A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Describe It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2F9E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Pathophysiology of It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A913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Risk Factors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0E39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Signs and Symptoms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961E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 xml:space="preserve">Specific Lab Values </w:t>
            </w:r>
          </w:p>
        </w:tc>
      </w:tr>
      <w:tr w:rsidR="00A17B60" w14:paraId="289493D6" w14:textId="77777777" w:rsidTr="00A17B6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58B6" w14:textId="6AFAC894" w:rsidR="00A17B60" w:rsidRDefault="002F0C6F">
            <w:pPr>
              <w:pStyle w:val="Body"/>
              <w:snapToGrid w:val="0"/>
            </w:pPr>
            <w:r>
              <w:t xml:space="preserve">Hepatitis B is the inflammation of the liver caused by </w:t>
            </w:r>
            <w:r w:rsidR="004C4A8C">
              <w:t xml:space="preserve">the </w:t>
            </w:r>
            <w:r>
              <w:t>Hepatitis B virus</w:t>
            </w:r>
          </w:p>
          <w:p w14:paraId="22180AB2" w14:textId="77777777" w:rsidR="00A17B60" w:rsidRDefault="00A17B60">
            <w:pPr>
              <w:pStyle w:val="Body"/>
              <w:snapToGrid w:val="0"/>
            </w:pPr>
          </w:p>
          <w:p w14:paraId="0F5F1A92" w14:textId="77777777" w:rsidR="00A17B60" w:rsidRDefault="00A17B60">
            <w:pPr>
              <w:pStyle w:val="Body"/>
              <w:snapToGri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0697" w14:textId="09EE6DD9" w:rsidR="00A17B60" w:rsidRDefault="004C4A8C">
            <w:pPr>
              <w:pStyle w:val="Body"/>
              <w:snapToGrid w:val="0"/>
            </w:pPr>
            <w:r>
              <w:t xml:space="preserve">The exposure of the blood to </w:t>
            </w:r>
            <w:r w:rsidR="00F827B8">
              <w:t xml:space="preserve">the </w:t>
            </w:r>
            <w:r>
              <w:t xml:space="preserve">Hepatitis B virus causes the body to </w:t>
            </w:r>
            <w:r w:rsidR="004126E5">
              <w:t xml:space="preserve">set up an immune response and therefore the cytotoxic T cells and antibodies of the virus are released, </w:t>
            </w:r>
            <w:r w:rsidR="00F827B8">
              <w:t xml:space="preserve">and </w:t>
            </w:r>
            <w:r w:rsidR="004126E5">
              <w:t xml:space="preserve">the inflammatory </w:t>
            </w:r>
            <w:r w:rsidR="004126E5">
              <w:lastRenderedPageBreak/>
              <w:t>cytokines are produced.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A77F" w14:textId="27E618F0" w:rsidR="00A17B60" w:rsidRDefault="004126E5">
            <w:pPr>
              <w:pStyle w:val="Body"/>
              <w:snapToGrid w:val="0"/>
            </w:pPr>
            <w:r>
              <w:lastRenderedPageBreak/>
              <w:t xml:space="preserve">Having unprotected sex with an HPV patient, a baby with an infected mother, </w:t>
            </w:r>
            <w:r w:rsidR="00F827B8">
              <w:t xml:space="preserve">or </w:t>
            </w:r>
            <w:r>
              <w:t xml:space="preserve">staying with </w:t>
            </w:r>
            <w:r w:rsidR="00F827B8">
              <w:t>an</w:t>
            </w:r>
            <w:r>
              <w:t xml:space="preserve"> </w:t>
            </w:r>
            <w:r w:rsidR="00F827B8">
              <w:t>HPV-infected</w:t>
            </w:r>
            <w:r>
              <w:t xml:space="preserve"> person.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8869" w14:textId="5AF2FD5B" w:rsidR="00A17B60" w:rsidRDefault="004126E5">
            <w:pPr>
              <w:pStyle w:val="Body"/>
              <w:snapToGrid w:val="0"/>
            </w:pPr>
            <w:r>
              <w:t xml:space="preserve">Fever, joint pain, abdominal pain, no appetite, </w:t>
            </w:r>
            <w:r w:rsidR="00F827B8">
              <w:t>dark-colored</w:t>
            </w:r>
            <w:r>
              <w:t xml:space="preserve"> urine, nausea, vomiting, yellowing of skin and eyes.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CC62" w14:textId="63169EC8" w:rsidR="00A17B60" w:rsidRDefault="004C4A8C">
            <w:pPr>
              <w:pStyle w:val="Body"/>
              <w:snapToGrid w:val="0"/>
            </w:pPr>
            <w:r w:rsidRPr="004C4A8C">
              <w:t>HBsAg</w:t>
            </w:r>
            <w:r>
              <w:t xml:space="preserve"> l</w:t>
            </w:r>
            <w:r w:rsidR="003F5B70">
              <w:t xml:space="preserve">evel </w:t>
            </w:r>
            <w:r>
              <w:t>h</w:t>
            </w:r>
            <w:r w:rsidR="003F5B70">
              <w:t xml:space="preserve">igher </w:t>
            </w:r>
            <w:r w:rsidR="003F5B70" w:rsidRPr="003F5B70">
              <w:t xml:space="preserve">than 12 </w:t>
            </w:r>
            <w:proofErr w:type="spellStart"/>
            <w:r w:rsidR="003F5B70" w:rsidRPr="003F5B70">
              <w:t>mIU</w:t>
            </w:r>
            <w:proofErr w:type="spellEnd"/>
          </w:p>
        </w:tc>
      </w:tr>
    </w:tbl>
    <w:p w14:paraId="66F8301D" w14:textId="77777777" w:rsidR="00A17B60" w:rsidRDefault="00A17B60" w:rsidP="00A17B60"/>
    <w:p w14:paraId="5A5AAB4A" w14:textId="77777777" w:rsidR="00A17B60" w:rsidRDefault="00A17B60" w:rsidP="00A17B60">
      <w:pPr>
        <w:pStyle w:val="ListParagraph"/>
        <w:numPr>
          <w:ilvl w:val="0"/>
          <w:numId w:val="2"/>
        </w:numPr>
      </w:pPr>
      <w:r>
        <w:t>Hepatitis C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2152"/>
        <w:gridCol w:w="1829"/>
        <w:gridCol w:w="1928"/>
        <w:gridCol w:w="1563"/>
      </w:tblGrid>
      <w:tr w:rsidR="00A17B60" w14:paraId="2366A00B" w14:textId="77777777" w:rsidTr="00A17B6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1F28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Describe It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233C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Pathophysiology of It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AF9B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Risk Factors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B9C0E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Signs and Symptoms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EC19D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 xml:space="preserve">Specific Lab Values </w:t>
            </w:r>
          </w:p>
        </w:tc>
      </w:tr>
      <w:tr w:rsidR="00A17B60" w14:paraId="3F1DEF08" w14:textId="77777777" w:rsidTr="00A17B6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9126" w14:textId="6C269E9C" w:rsidR="00A17B60" w:rsidRDefault="004126E5">
            <w:pPr>
              <w:pStyle w:val="Body"/>
              <w:snapToGrid w:val="0"/>
            </w:pPr>
            <w:r>
              <w:t xml:space="preserve">Hepatitis C is the inflammation of the liver by the </w:t>
            </w:r>
            <w:r w:rsidR="00571F03">
              <w:t>Hepatitis C virus</w:t>
            </w:r>
            <w:r>
              <w:t xml:space="preserve"> </w:t>
            </w:r>
          </w:p>
          <w:p w14:paraId="03CB3FC4" w14:textId="77777777" w:rsidR="00A17B60" w:rsidRDefault="00A17B60">
            <w:pPr>
              <w:pStyle w:val="Body"/>
              <w:snapToGrid w:val="0"/>
            </w:pPr>
          </w:p>
          <w:p w14:paraId="2759F754" w14:textId="77777777" w:rsidR="00A17B60" w:rsidRDefault="00A17B60">
            <w:pPr>
              <w:pStyle w:val="Body"/>
              <w:snapToGri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230A" w14:textId="5E8E2486" w:rsidR="00A17B60" w:rsidRDefault="00571F03">
            <w:pPr>
              <w:pStyle w:val="Body"/>
              <w:snapToGrid w:val="0"/>
            </w:pPr>
            <w:r>
              <w:t>The Hepatitis C virus gets into the hepatocyte through endocytosis controlled by different co-receptor molecules. The virus then multiplies severally leading to cell necrosis</w:t>
            </w:r>
            <w:r w:rsidR="00F827B8">
              <w:t xml:space="preserve"> in different ways such as insulin resistance, and cytolysis.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0216" w14:textId="5C945F87" w:rsidR="00A17B60" w:rsidRDefault="004126E5">
            <w:pPr>
              <w:pStyle w:val="Body"/>
              <w:snapToGrid w:val="0"/>
            </w:pPr>
            <w:r>
              <w:t xml:space="preserve">Exposure of healthcare provider to infected blood </w:t>
            </w:r>
            <w:r w:rsidR="00571F03">
              <w:t>in case</w:t>
            </w:r>
            <w:r>
              <w:t xml:space="preserve"> of piercing by </w:t>
            </w:r>
            <w:r w:rsidR="00571F03">
              <w:t>an infected syringe</w:t>
            </w:r>
            <w:r>
              <w:t xml:space="preserve">, HIV infection, drug abuse, </w:t>
            </w:r>
            <w:r w:rsidR="00571F03">
              <w:t xml:space="preserve">or </w:t>
            </w:r>
            <w:r>
              <w:t xml:space="preserve">piercings using </w:t>
            </w:r>
            <w:r w:rsidR="00571F03">
              <w:t>unsterile</w:t>
            </w:r>
            <w:r>
              <w:t xml:space="preserve"> objects.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DC75" w14:textId="305D6259" w:rsidR="00A17B60" w:rsidRDefault="004126E5">
            <w:pPr>
              <w:pStyle w:val="Body"/>
              <w:snapToGrid w:val="0"/>
            </w:pPr>
            <w:r>
              <w:t>Yellow skin and eyes, loss of appetite, vomiting, dark urine, fatigue, fever, stomach upset</w:t>
            </w:r>
            <w:r w:rsidR="00571F03">
              <w:t>,</w:t>
            </w:r>
            <w:r>
              <w:t xml:space="preserve"> and pain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65DE" w14:textId="78E85791" w:rsidR="00A17B60" w:rsidRDefault="00F827B8">
            <w:pPr>
              <w:pStyle w:val="Body"/>
              <w:snapToGrid w:val="0"/>
            </w:pPr>
            <w:r>
              <w:t xml:space="preserve">Viral load </w:t>
            </w:r>
            <w:r w:rsidRPr="00F827B8">
              <w:t>&gt;800,000 IU/L</w:t>
            </w:r>
          </w:p>
        </w:tc>
      </w:tr>
    </w:tbl>
    <w:p w14:paraId="7A67E9A2" w14:textId="77777777" w:rsidR="00A17B60" w:rsidRDefault="00A17B60" w:rsidP="00A17B60"/>
    <w:p w14:paraId="7F7AE2FC" w14:textId="77777777" w:rsidR="00A17B60" w:rsidRDefault="00A17B60" w:rsidP="00A17B60">
      <w:pPr>
        <w:pStyle w:val="ListParagraph"/>
        <w:numPr>
          <w:ilvl w:val="0"/>
          <w:numId w:val="2"/>
        </w:numPr>
      </w:pPr>
      <w:r>
        <w:t>Cirrhosis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2152"/>
        <w:gridCol w:w="1829"/>
        <w:gridCol w:w="1928"/>
        <w:gridCol w:w="1563"/>
      </w:tblGrid>
      <w:tr w:rsidR="00A17B60" w14:paraId="1110D3E4" w14:textId="77777777" w:rsidTr="00A17B6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D68F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Describe It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ECE9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Pathophysiology of It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92FD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Risk Factors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1E6ED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Signs and Symptoms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E4F7" w14:textId="77777777"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 xml:space="preserve">Specific Lab Values </w:t>
            </w:r>
          </w:p>
        </w:tc>
      </w:tr>
      <w:tr w:rsidR="00A17B60" w14:paraId="0A626DA7" w14:textId="77777777" w:rsidTr="00A17B6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848E" w14:textId="79D20AE8" w:rsidR="00A17B60" w:rsidRDefault="002F0C6F">
            <w:pPr>
              <w:pStyle w:val="Body"/>
              <w:snapToGrid w:val="0"/>
            </w:pPr>
            <w:r>
              <w:t>Cirrhosis is an illness that comes as a result of the destruction of the liver which gradually causes liver failure</w:t>
            </w:r>
            <w:r w:rsidR="000365B1">
              <w:t xml:space="preserve"> after 80% to 90% of the liver is ruined.  </w:t>
            </w:r>
          </w:p>
          <w:p w14:paraId="2EF3144D" w14:textId="77777777" w:rsidR="00A17B60" w:rsidRDefault="00A17B60">
            <w:pPr>
              <w:pStyle w:val="Body"/>
              <w:snapToGrid w:val="0"/>
            </w:pPr>
          </w:p>
          <w:p w14:paraId="3E5EAA36" w14:textId="77777777" w:rsidR="00A17B60" w:rsidRDefault="00A17B60">
            <w:pPr>
              <w:pStyle w:val="Body"/>
              <w:snapToGri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A418" w14:textId="56997096" w:rsidR="00A17B60" w:rsidRDefault="000365B1">
            <w:pPr>
              <w:pStyle w:val="Body"/>
              <w:snapToGrid w:val="0"/>
            </w:pPr>
            <w:r>
              <w:t>The liver shows huge diffuse fibrosis and</w:t>
            </w:r>
            <w:r w:rsidR="006B2488">
              <w:t xml:space="preserve"> an absence of lobular formation. There can be the availability of lesions of renewed hepatocytes which may not be useful due to the alteration of the vascular network and biliary duct. </w:t>
            </w:r>
            <w:r w:rsidR="00B94F53">
              <w:t>When the causative factor is eliminated, th</w:t>
            </w:r>
            <w:r w:rsidR="00F827B8">
              <w:t>is</w:t>
            </w:r>
            <w:r w:rsidR="00B94F53">
              <w:t xml:space="preserve"> </w:t>
            </w:r>
            <w:r w:rsidR="00F827B8">
              <w:t>is</w:t>
            </w:r>
            <w:r w:rsidR="00B94F53">
              <w:t xml:space="preserve"> still additional damage since fibrosis affects the supply of blood to the live causing inflammation. The liver first expands </w:t>
            </w:r>
            <w:r w:rsidR="00F827B8">
              <w:t xml:space="preserve">and </w:t>
            </w:r>
            <w:r w:rsidR="00B94F53">
              <w:t>then shrinks as the fibrosis continues.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1BB0" w14:textId="3D6EE9FC" w:rsidR="00A17B60" w:rsidRDefault="000365B1">
            <w:pPr>
              <w:pStyle w:val="Body"/>
              <w:snapToGrid w:val="0"/>
            </w:pPr>
            <w:r>
              <w:t>Alcohol consumption, genetical factors, alcoholic liver disease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0926" w14:textId="2522FD18" w:rsidR="00A17B60" w:rsidRDefault="000365B1">
            <w:pPr>
              <w:pStyle w:val="Body"/>
              <w:snapToGrid w:val="0"/>
            </w:pPr>
            <w:r>
              <w:t xml:space="preserve">Weakness, anorexia, weight loss, anemia, diarrhea, </w:t>
            </w:r>
            <w:r w:rsidR="004C4A8C">
              <w:t xml:space="preserve">and </w:t>
            </w:r>
            <w:r>
              <w:t>abdominal pain in the upper part.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FFBC" w14:textId="77777777" w:rsidR="00A17B60" w:rsidRDefault="004C4A8C">
            <w:pPr>
              <w:pStyle w:val="Body"/>
              <w:snapToGrid w:val="0"/>
            </w:pPr>
            <w:r w:rsidRPr="004C4A8C">
              <w:t>Bilirubin &gt; 1.5 mg/dL</w:t>
            </w:r>
          </w:p>
          <w:p w14:paraId="5FDCA2A6" w14:textId="77777777" w:rsidR="004C4A8C" w:rsidRDefault="004C4A8C">
            <w:pPr>
              <w:pStyle w:val="Body"/>
              <w:snapToGrid w:val="0"/>
            </w:pPr>
            <w:r w:rsidRPr="004C4A8C">
              <w:t>Albumin &lt; 3.8 mg/dL</w:t>
            </w:r>
          </w:p>
          <w:p w14:paraId="573AEB51" w14:textId="58BFD9DD" w:rsidR="004C4A8C" w:rsidRDefault="004C4A8C">
            <w:pPr>
              <w:pStyle w:val="Body"/>
              <w:snapToGrid w:val="0"/>
            </w:pPr>
            <w:r w:rsidRPr="004C4A8C">
              <w:t>Platelet count &lt; 180,000.</w:t>
            </w:r>
          </w:p>
        </w:tc>
      </w:tr>
    </w:tbl>
    <w:p w14:paraId="7D15505E" w14:textId="77777777" w:rsidR="008F3E79" w:rsidRDefault="008F3E79"/>
    <w:sectPr w:rsidR="008F3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81800"/>
    <w:multiLevelType w:val="hybridMultilevel"/>
    <w:tmpl w:val="58E23C6A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40973"/>
    <w:multiLevelType w:val="hybridMultilevel"/>
    <w:tmpl w:val="961EA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4860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747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60"/>
    <w:rsid w:val="00023D10"/>
    <w:rsid w:val="000365B1"/>
    <w:rsid w:val="00043A16"/>
    <w:rsid w:val="00045BE3"/>
    <w:rsid w:val="001154B5"/>
    <w:rsid w:val="00206993"/>
    <w:rsid w:val="002F0C6F"/>
    <w:rsid w:val="00396023"/>
    <w:rsid w:val="003B72F9"/>
    <w:rsid w:val="003F5B70"/>
    <w:rsid w:val="004126E5"/>
    <w:rsid w:val="004232D6"/>
    <w:rsid w:val="004C4A8C"/>
    <w:rsid w:val="00571F03"/>
    <w:rsid w:val="005909B1"/>
    <w:rsid w:val="006A6094"/>
    <w:rsid w:val="006B2488"/>
    <w:rsid w:val="006D3636"/>
    <w:rsid w:val="00721495"/>
    <w:rsid w:val="0085374F"/>
    <w:rsid w:val="008E3CCC"/>
    <w:rsid w:val="008F3E79"/>
    <w:rsid w:val="009356A0"/>
    <w:rsid w:val="00993604"/>
    <w:rsid w:val="009A108A"/>
    <w:rsid w:val="009B0A27"/>
    <w:rsid w:val="00A17B60"/>
    <w:rsid w:val="00B94F53"/>
    <w:rsid w:val="00D22ED2"/>
    <w:rsid w:val="00E5486A"/>
    <w:rsid w:val="00E8571E"/>
    <w:rsid w:val="00F02DEC"/>
    <w:rsid w:val="00F8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2D80C"/>
  <w15:chartTrackingRefBased/>
  <w15:docId w15:val="{A8B293B3-2A4B-4F45-9A2A-267EB44D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B6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B60"/>
    <w:pPr>
      <w:ind w:left="720"/>
      <w:contextualSpacing/>
    </w:pPr>
  </w:style>
  <w:style w:type="paragraph" w:customStyle="1" w:styleId="Body">
    <w:name w:val="Body"/>
    <w:rsid w:val="00A17B60"/>
    <w:pPr>
      <w:spacing w:after="0" w:line="240" w:lineRule="auto"/>
    </w:pPr>
    <w:rPr>
      <w:rFonts w:ascii="Helvetica" w:eastAsia="Arial Unicode MS" w:hAnsi="Arial Unicode MS" w:cs="Arial Unicode MS"/>
      <w:color w:val="000000"/>
    </w:rPr>
  </w:style>
  <w:style w:type="table" w:styleId="TableGrid">
    <w:name w:val="Table Grid"/>
    <w:basedOn w:val="TableNormal"/>
    <w:uiPriority w:val="39"/>
    <w:rsid w:val="00A17B60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1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1184</Words>
  <Characters>6536</Characters>
  <Application>Microsoft Office Word</Application>
  <DocSecurity>0</DocSecurity>
  <Lines>1307</Lines>
  <Paragraphs>514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Beatrice Juma</cp:lastModifiedBy>
  <cp:revision>10</cp:revision>
  <dcterms:created xsi:type="dcterms:W3CDTF">2022-11-18T06:37:00Z</dcterms:created>
  <dcterms:modified xsi:type="dcterms:W3CDTF">2022-11-19T15:18:00Z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c371d03d45090f1b797974562eea26df56faa386343198372c53bd505b0463b7</vt:lpwstr>
  </property>
</Properties>
</file>