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C2A19" w14:textId="77777777" w:rsidR="00AC37B2" w:rsidRDefault="00AC37B2" w:rsidP="002A6B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2231A" w14:textId="77777777" w:rsidR="00AC37B2" w:rsidRDefault="00AC37B2" w:rsidP="002A6B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1BB34" w14:textId="77777777" w:rsidR="00AC37B2" w:rsidRDefault="00AC37B2" w:rsidP="002A6B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22D03" w14:textId="77777777" w:rsidR="00AC37B2" w:rsidRDefault="00AC37B2" w:rsidP="002A6B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8D1E7" w14:textId="77777777" w:rsidR="00AC37B2" w:rsidRDefault="00AC37B2" w:rsidP="002A6B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72F1D" w14:textId="7A45DAD3" w:rsidR="00F966BD" w:rsidRDefault="00F966BD" w:rsidP="002A6B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7B">
        <w:rPr>
          <w:rFonts w:ascii="Times New Roman" w:hAnsi="Times New Roman" w:cs="Times New Roman"/>
          <w:b/>
          <w:sz w:val="24"/>
          <w:szCs w:val="24"/>
        </w:rPr>
        <w:t>Week 13 Discussion: Ophthalmic Disorders</w:t>
      </w:r>
    </w:p>
    <w:p w14:paraId="1513E22A" w14:textId="77777777" w:rsidR="00AC37B2" w:rsidRDefault="00AC37B2" w:rsidP="00AC37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333B24" w14:textId="52C9717E" w:rsidR="00AC37B2" w:rsidRDefault="00AC37B2" w:rsidP="00AC37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2A70B436" w14:textId="77777777" w:rsidR="00AC37B2" w:rsidRDefault="00AC37B2" w:rsidP="00AC37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Department, Institutional Affiliation</w:t>
      </w:r>
    </w:p>
    <w:p w14:paraId="40BE572E" w14:textId="77777777" w:rsidR="00AC37B2" w:rsidRDefault="00AC37B2" w:rsidP="00AC37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Code: Course Name</w:t>
      </w:r>
    </w:p>
    <w:p w14:paraId="61235833" w14:textId="77777777" w:rsidR="00AC37B2" w:rsidRDefault="00AC37B2" w:rsidP="00AC37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14:paraId="23FB8A39" w14:textId="77777777" w:rsidR="00AC37B2" w:rsidRDefault="00AC37B2" w:rsidP="00AC37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24ADCBE8" w14:textId="77777777" w:rsidR="00AC37B2" w:rsidRDefault="00AC3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FFFE28D" w14:textId="1D641CB3" w:rsidR="00AC37B2" w:rsidRPr="0016477B" w:rsidRDefault="00AC37B2" w:rsidP="002A6B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Conjunctivitis </w:t>
      </w:r>
    </w:p>
    <w:p w14:paraId="202FFF58" w14:textId="18FA7254" w:rsidR="00B0119A" w:rsidRPr="0016477B" w:rsidRDefault="00B0119A" w:rsidP="002A6B41">
      <w:pPr>
        <w:spacing w:line="48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16477B">
        <w:rPr>
          <w:rFonts w:ascii="Times New Roman" w:hAnsi="Times New Roman" w:cs="Times New Roman"/>
          <w:bCs/>
          <w:sz w:val="24"/>
          <w:szCs w:val="24"/>
        </w:rPr>
        <w:t xml:space="preserve">The discussion </w:t>
      </w:r>
      <w:r w:rsidR="00D1088F" w:rsidRPr="0016477B">
        <w:rPr>
          <w:rFonts w:ascii="Times New Roman" w:hAnsi="Times New Roman" w:cs="Times New Roman"/>
          <w:bCs/>
          <w:sz w:val="24"/>
          <w:szCs w:val="24"/>
        </w:rPr>
        <w:t>seeks</w:t>
      </w:r>
      <w:r w:rsidRPr="001647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88F" w:rsidRPr="0016477B">
        <w:rPr>
          <w:rFonts w:ascii="Times New Roman" w:hAnsi="Times New Roman" w:cs="Times New Roman"/>
          <w:bCs/>
          <w:sz w:val="24"/>
          <w:szCs w:val="24"/>
        </w:rPr>
        <w:t>to</w:t>
      </w:r>
      <w:r w:rsidR="00F84A4E" w:rsidRPr="0016477B">
        <w:rPr>
          <w:rFonts w:ascii="Times New Roman" w:hAnsi="Times New Roman" w:cs="Times New Roman"/>
          <w:bCs/>
          <w:sz w:val="24"/>
          <w:szCs w:val="24"/>
        </w:rPr>
        <w:t xml:space="preserve"> explore </w:t>
      </w:r>
      <w:r w:rsidR="00A70B7F" w:rsidRPr="0016477B">
        <w:rPr>
          <w:rFonts w:ascii="Times New Roman" w:hAnsi="Times New Roman" w:cs="Times New Roman"/>
          <w:bCs/>
          <w:sz w:val="24"/>
          <w:szCs w:val="24"/>
        </w:rPr>
        <w:t xml:space="preserve">a case of </w:t>
      </w:r>
      <w:r w:rsidR="00F84A4E" w:rsidRPr="0016477B">
        <w:rPr>
          <w:rFonts w:ascii="Times New Roman" w:hAnsi="Times New Roman" w:cs="Times New Roman"/>
          <w:bCs/>
          <w:sz w:val="24"/>
          <w:szCs w:val="24"/>
        </w:rPr>
        <w:t xml:space="preserve">V.S, 12 Hispanic </w:t>
      </w:r>
      <w:proofErr w:type="gramStart"/>
      <w:r w:rsidR="00F84A4E" w:rsidRPr="0016477B">
        <w:rPr>
          <w:rFonts w:ascii="Times New Roman" w:hAnsi="Times New Roman" w:cs="Times New Roman"/>
          <w:bCs/>
          <w:sz w:val="24"/>
          <w:szCs w:val="24"/>
        </w:rPr>
        <w:t>male</w:t>
      </w:r>
      <w:proofErr w:type="gramEnd"/>
      <w:r w:rsidR="00F84A4E" w:rsidRPr="0016477B">
        <w:rPr>
          <w:rFonts w:ascii="Times New Roman" w:hAnsi="Times New Roman" w:cs="Times New Roman"/>
          <w:bCs/>
          <w:sz w:val="24"/>
          <w:szCs w:val="24"/>
        </w:rPr>
        <w:t xml:space="preserve"> diagnosed </w:t>
      </w:r>
      <w:r w:rsidR="00A70B7F" w:rsidRPr="0016477B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="00F84A4E" w:rsidRPr="0016477B">
        <w:rPr>
          <w:rFonts w:ascii="Times New Roman" w:hAnsi="Times New Roman" w:cs="Times New Roman"/>
          <w:bCs/>
          <w:sz w:val="24"/>
          <w:szCs w:val="24"/>
        </w:rPr>
        <w:t xml:space="preserve">conjunctivitis </w:t>
      </w:r>
      <w:r w:rsidR="00913134" w:rsidRPr="0016477B">
        <w:rPr>
          <w:rFonts w:ascii="Times New Roman" w:hAnsi="Times New Roman" w:cs="Times New Roman"/>
          <w:bCs/>
          <w:sz w:val="24"/>
          <w:szCs w:val="24"/>
        </w:rPr>
        <w:t>characterized</w:t>
      </w:r>
      <w:r w:rsidR="00F84A4E" w:rsidRPr="0016477B">
        <w:rPr>
          <w:rFonts w:ascii="Times New Roman" w:hAnsi="Times New Roman" w:cs="Times New Roman"/>
          <w:bCs/>
          <w:sz w:val="24"/>
          <w:szCs w:val="24"/>
        </w:rPr>
        <w:t xml:space="preserve"> by </w:t>
      </w:r>
      <w:r w:rsidR="00913134" w:rsidRPr="0016477B">
        <w:rPr>
          <w:rFonts w:ascii="Times New Roman" w:hAnsi="Times New Roman" w:cs="Times New Roman"/>
          <w:bCs/>
          <w:sz w:val="24"/>
          <w:szCs w:val="24"/>
        </w:rPr>
        <w:t xml:space="preserve">feeling that his left eye </w:t>
      </w:r>
      <w:r w:rsidR="002A6B41" w:rsidRPr="0016477B">
        <w:rPr>
          <w:rFonts w:ascii="Times New Roman" w:hAnsi="Times New Roman" w:cs="Times New Roman"/>
          <w:bCs/>
          <w:sz w:val="24"/>
          <w:szCs w:val="24"/>
        </w:rPr>
        <w:t xml:space="preserve">has </w:t>
      </w:r>
      <w:r w:rsidR="00913134" w:rsidRPr="0016477B">
        <w:rPr>
          <w:rFonts w:ascii="Times New Roman" w:hAnsi="Times New Roman" w:cs="Times New Roman"/>
          <w:bCs/>
          <w:sz w:val="24"/>
          <w:szCs w:val="24"/>
        </w:rPr>
        <w:t>sand in it</w:t>
      </w:r>
      <w:r w:rsidR="002A6B41" w:rsidRPr="0016477B">
        <w:rPr>
          <w:rFonts w:ascii="Times New Roman" w:hAnsi="Times New Roman" w:cs="Times New Roman"/>
          <w:bCs/>
          <w:sz w:val="24"/>
          <w:szCs w:val="24"/>
        </w:rPr>
        <w:t xml:space="preserve">, crusted with yellowish drainage and has </w:t>
      </w:r>
      <w:bookmarkStart w:id="0" w:name="_Hlk120090372"/>
      <w:r w:rsidR="002A6B41" w:rsidRPr="0016477B">
        <w:rPr>
          <w:rFonts w:ascii="Times New Roman" w:hAnsi="Times New Roman" w:cs="Times New Roman"/>
          <w:bCs/>
          <w:sz w:val="24"/>
          <w:szCs w:val="24"/>
        </w:rPr>
        <w:t>injected conjunctiva</w:t>
      </w:r>
      <w:bookmarkEnd w:id="0"/>
      <w:r w:rsidR="002A6B41" w:rsidRPr="0016477B">
        <w:rPr>
          <w:rFonts w:ascii="Times New Roman" w:hAnsi="Times New Roman" w:cs="Times New Roman"/>
          <w:bCs/>
          <w:sz w:val="24"/>
          <w:szCs w:val="24"/>
        </w:rPr>
        <w:t xml:space="preserve">. Notably, the patient is allergic to sulfa. </w:t>
      </w:r>
    </w:p>
    <w:p w14:paraId="213AB4E0" w14:textId="421CC9D1" w:rsidR="00EF0C64" w:rsidRPr="0016477B" w:rsidRDefault="002743B6" w:rsidP="00BE768E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77B">
        <w:rPr>
          <w:rFonts w:ascii="Times New Roman" w:hAnsi="Times New Roman" w:cs="Times New Roman"/>
          <w:b/>
          <w:bCs/>
          <w:sz w:val="24"/>
          <w:szCs w:val="24"/>
        </w:rPr>
        <w:t>List specific goals of treatment for V.S.</w:t>
      </w:r>
    </w:p>
    <w:p w14:paraId="6439CC37" w14:textId="4FC20731" w:rsidR="005B0517" w:rsidRPr="0016477B" w:rsidRDefault="005B7312" w:rsidP="0090142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477B">
        <w:rPr>
          <w:rFonts w:ascii="Times New Roman" w:hAnsi="Times New Roman" w:cs="Times New Roman"/>
          <w:sz w:val="24"/>
          <w:szCs w:val="24"/>
        </w:rPr>
        <w:t xml:space="preserve">In this case, </w:t>
      </w:r>
      <w:r w:rsidR="002A5066" w:rsidRPr="0016477B">
        <w:rPr>
          <w:rFonts w:ascii="Times New Roman" w:hAnsi="Times New Roman" w:cs="Times New Roman"/>
          <w:sz w:val="24"/>
          <w:szCs w:val="24"/>
        </w:rPr>
        <w:t xml:space="preserve">the treatment goals for </w:t>
      </w:r>
      <w:r w:rsidR="00F447A2" w:rsidRPr="0016477B">
        <w:rPr>
          <w:rFonts w:ascii="Times New Roman" w:hAnsi="Times New Roman" w:cs="Times New Roman"/>
          <w:sz w:val="24"/>
          <w:szCs w:val="24"/>
        </w:rPr>
        <w:t>conjunctivitis</w:t>
      </w:r>
      <w:r w:rsidR="002A5066" w:rsidRPr="0016477B">
        <w:rPr>
          <w:rFonts w:ascii="Times New Roman" w:hAnsi="Times New Roman" w:cs="Times New Roman"/>
          <w:sz w:val="24"/>
          <w:szCs w:val="24"/>
        </w:rPr>
        <w:t xml:space="preserve"> include increasing patient comfort, reducing the course of inflammation or infection and pr</w:t>
      </w:r>
      <w:r w:rsidR="00F447A2" w:rsidRPr="0016477B">
        <w:rPr>
          <w:rFonts w:ascii="Times New Roman" w:hAnsi="Times New Roman" w:cs="Times New Roman"/>
          <w:sz w:val="24"/>
          <w:szCs w:val="24"/>
        </w:rPr>
        <w:t xml:space="preserve">eventing spread of infection in contagious types of conductivities. </w:t>
      </w:r>
      <w:r w:rsidR="00EB5DE2" w:rsidRPr="0016477B">
        <w:rPr>
          <w:rFonts w:ascii="Times New Roman" w:hAnsi="Times New Roman" w:cs="Times New Roman"/>
          <w:sz w:val="24"/>
          <w:szCs w:val="24"/>
        </w:rPr>
        <w:t xml:space="preserve">In bacterial conjunctivitis, the treatment goals </w:t>
      </w:r>
      <w:r w:rsidR="00BE768E" w:rsidRPr="0016477B">
        <w:rPr>
          <w:rFonts w:ascii="Times New Roman" w:hAnsi="Times New Roman" w:cs="Times New Roman"/>
          <w:sz w:val="24"/>
          <w:szCs w:val="24"/>
        </w:rPr>
        <w:t>involve</w:t>
      </w:r>
      <w:r w:rsidR="00EB5DE2" w:rsidRPr="0016477B">
        <w:rPr>
          <w:rFonts w:ascii="Times New Roman" w:hAnsi="Times New Roman" w:cs="Times New Roman"/>
          <w:sz w:val="24"/>
          <w:szCs w:val="24"/>
        </w:rPr>
        <w:t xml:space="preserve"> reducing the duration of symptoms including </w:t>
      </w:r>
      <w:r w:rsidR="00DD3F7B" w:rsidRPr="0016477B">
        <w:rPr>
          <w:rFonts w:ascii="Times New Roman" w:hAnsi="Times New Roman" w:cs="Times New Roman"/>
          <w:sz w:val="24"/>
          <w:szCs w:val="24"/>
        </w:rPr>
        <w:t xml:space="preserve">white-yellow discharge, conjunctival papillae, redness, </w:t>
      </w:r>
      <w:r w:rsidR="00B54DEF" w:rsidRPr="0016477B">
        <w:rPr>
          <w:rFonts w:ascii="Times New Roman" w:hAnsi="Times New Roman" w:cs="Times New Roman"/>
          <w:sz w:val="24"/>
          <w:szCs w:val="24"/>
        </w:rPr>
        <w:t xml:space="preserve">and </w:t>
      </w:r>
      <w:r w:rsidR="00DD3F7B" w:rsidRPr="0016477B">
        <w:rPr>
          <w:rFonts w:ascii="Times New Roman" w:hAnsi="Times New Roman" w:cs="Times New Roman"/>
          <w:sz w:val="24"/>
          <w:szCs w:val="24"/>
        </w:rPr>
        <w:t>foreign body sensation</w:t>
      </w:r>
      <w:r w:rsidR="00B54DEF" w:rsidRPr="0016477B">
        <w:rPr>
          <w:rFonts w:ascii="Times New Roman" w:hAnsi="Times New Roman" w:cs="Times New Roman"/>
          <w:sz w:val="24"/>
          <w:szCs w:val="24"/>
        </w:rPr>
        <w:t xml:space="preserve"> </w:t>
      </w:r>
      <w:r w:rsidR="00901428" w:rsidRPr="0016477B">
        <w:rPr>
          <w:rFonts w:ascii="Times New Roman" w:hAnsi="Times New Roman" w:cs="Times New Roman"/>
          <w:sz w:val="24"/>
          <w:szCs w:val="24"/>
        </w:rPr>
        <w:t xml:space="preserve">and involvement of one eye </w:t>
      </w:r>
      <w:r w:rsidR="00B54DEF" w:rsidRPr="0016477B">
        <w:rPr>
          <w:rFonts w:ascii="Times New Roman" w:hAnsi="Times New Roman" w:cs="Times New Roman"/>
          <w:sz w:val="24"/>
          <w:szCs w:val="24"/>
        </w:rPr>
        <w:t>(</w:t>
      </w:r>
      <w:r w:rsidR="00ED513F" w:rsidRPr="0016477B">
        <w:rPr>
          <w:rFonts w:ascii="Times New Roman" w:hAnsi="Times New Roman" w:cs="Times New Roman"/>
          <w:sz w:val="24"/>
          <w:szCs w:val="24"/>
        </w:rPr>
        <w:t>Ryder &amp; Benson, 2022</w:t>
      </w:r>
      <w:r w:rsidR="00901428" w:rsidRPr="0016477B">
        <w:rPr>
          <w:rFonts w:ascii="Times New Roman" w:hAnsi="Times New Roman" w:cs="Times New Roman"/>
          <w:sz w:val="24"/>
          <w:szCs w:val="24"/>
        </w:rPr>
        <w:t>; Azari &amp; Arabi, 2020</w:t>
      </w:r>
      <w:r w:rsidR="00B54DEF" w:rsidRPr="0016477B">
        <w:rPr>
          <w:rFonts w:ascii="Times New Roman" w:hAnsi="Times New Roman" w:cs="Times New Roman"/>
          <w:sz w:val="24"/>
          <w:szCs w:val="24"/>
        </w:rPr>
        <w:t>).</w:t>
      </w:r>
    </w:p>
    <w:p w14:paraId="185C47D4" w14:textId="2EF6209F" w:rsidR="00D16007" w:rsidRPr="0016477B" w:rsidRDefault="00B117E0" w:rsidP="00B117E0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77B">
        <w:rPr>
          <w:rFonts w:ascii="Times New Roman" w:hAnsi="Times New Roman" w:cs="Times New Roman"/>
          <w:b/>
          <w:bCs/>
          <w:sz w:val="24"/>
          <w:szCs w:val="24"/>
        </w:rPr>
        <w:t>Drug Therapy</w:t>
      </w:r>
    </w:p>
    <w:p w14:paraId="273C4E6F" w14:textId="356B265F" w:rsidR="00D16007" w:rsidRPr="0016477B" w:rsidRDefault="001466C7" w:rsidP="00411C6E">
      <w:pPr>
        <w:spacing w:line="480" w:lineRule="auto"/>
        <w:ind w:firstLine="36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6477B">
        <w:rPr>
          <w:rFonts w:ascii="Times New Roman" w:hAnsi="Times New Roman" w:cs="Times New Roman"/>
          <w:sz w:val="24"/>
          <w:szCs w:val="24"/>
        </w:rPr>
        <w:t xml:space="preserve">The patient present symptoms suggestive of </w:t>
      </w:r>
      <w:r w:rsidR="00E10296" w:rsidRPr="0016477B">
        <w:rPr>
          <w:rFonts w:ascii="Times New Roman" w:hAnsi="Times New Roman" w:cs="Times New Roman"/>
          <w:sz w:val="24"/>
          <w:szCs w:val="24"/>
        </w:rPr>
        <w:t xml:space="preserve">bacterial </w:t>
      </w:r>
      <w:r w:rsidR="00EF7A9A" w:rsidRPr="0016477B">
        <w:rPr>
          <w:rFonts w:ascii="Times New Roman" w:hAnsi="Times New Roman" w:cs="Times New Roman"/>
          <w:sz w:val="24"/>
          <w:szCs w:val="24"/>
        </w:rPr>
        <w:t>conjunctivitis</w:t>
      </w:r>
      <w:r w:rsidR="00E10296" w:rsidRPr="0016477B">
        <w:rPr>
          <w:rFonts w:ascii="Times New Roman" w:hAnsi="Times New Roman" w:cs="Times New Roman"/>
          <w:sz w:val="24"/>
          <w:szCs w:val="24"/>
        </w:rPr>
        <w:t xml:space="preserve"> characterized by foreign body sensation in the eye, yellowish discharge</w:t>
      </w:r>
      <w:r w:rsidR="00EF7A9A" w:rsidRPr="0016477B">
        <w:rPr>
          <w:rFonts w:ascii="Times New Roman" w:hAnsi="Times New Roman" w:cs="Times New Roman"/>
          <w:sz w:val="24"/>
          <w:szCs w:val="24"/>
        </w:rPr>
        <w:t xml:space="preserve">, redness and injected conjunctiva. It is crucial to note the patient is allergic to sulfa. </w:t>
      </w:r>
      <w:r w:rsidR="0032225F" w:rsidRPr="0016477B">
        <w:rPr>
          <w:rFonts w:ascii="Times New Roman" w:hAnsi="Times New Roman" w:cs="Times New Roman"/>
          <w:sz w:val="24"/>
          <w:szCs w:val="24"/>
        </w:rPr>
        <w:t xml:space="preserve">Bacterial conjunctivitis results from </w:t>
      </w:r>
      <w:r w:rsidR="002000A2" w:rsidRPr="0016477B">
        <w:rPr>
          <w:rFonts w:ascii="Times New Roman" w:hAnsi="Times New Roman" w:cs="Times New Roman"/>
          <w:sz w:val="24"/>
          <w:szCs w:val="24"/>
        </w:rPr>
        <w:t>direct contact with infected individual through contaminated fingers</w:t>
      </w:r>
      <w:r w:rsidR="00486E55" w:rsidRPr="0016477B">
        <w:rPr>
          <w:rFonts w:ascii="Times New Roman" w:hAnsi="Times New Roman" w:cs="Times New Roman"/>
          <w:sz w:val="24"/>
          <w:szCs w:val="24"/>
        </w:rPr>
        <w:t xml:space="preserve"> or fomites</w:t>
      </w:r>
      <w:r w:rsidR="00D54C2E" w:rsidRPr="0016477B">
        <w:rPr>
          <w:rFonts w:ascii="Times New Roman" w:hAnsi="Times New Roman" w:cs="Times New Roman"/>
          <w:sz w:val="24"/>
          <w:szCs w:val="24"/>
        </w:rPr>
        <w:t xml:space="preserve"> and commonly caused by</w:t>
      </w:r>
      <w:r w:rsidR="00D54C2E" w:rsidRPr="001647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54C2E" w:rsidRPr="0016477B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Staphylococcus</w:t>
      </w:r>
      <w:r w:rsidR="00D54C2E" w:rsidRPr="001647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species, </w:t>
      </w:r>
      <w:proofErr w:type="spellStart"/>
      <w:r w:rsidR="00D54C2E" w:rsidRPr="0016477B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Haemophilus</w:t>
      </w:r>
      <w:proofErr w:type="spellEnd"/>
      <w:r w:rsidR="00D54C2E" w:rsidRPr="0016477B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influenza</w:t>
      </w:r>
      <w:r w:rsidR="00D54C2E" w:rsidRPr="001647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="00D54C2E" w:rsidRPr="0016477B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Streptococcus</w:t>
      </w:r>
      <w:r w:rsidR="00D54C2E" w:rsidRPr="0016477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species, </w:t>
      </w:r>
      <w:r w:rsidR="00D54C2E" w:rsidRPr="0016477B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Moraxella catarrhali</w:t>
      </w:r>
      <w:r w:rsidR="00966A73" w:rsidRPr="0016477B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 </w:t>
      </w:r>
      <w:r w:rsidR="00966A73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bacteria</w:t>
      </w:r>
      <w:r w:rsidR="004E44AD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as well as gram-positive and gram-negative bacteria</w:t>
      </w:r>
      <w:r w:rsidR="004D6CBD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(</w:t>
      </w:r>
      <w:bookmarkStart w:id="1" w:name="_Hlk120093690"/>
      <w:r w:rsidR="006532E2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Ryder &amp; Benson, 2022</w:t>
      </w:r>
      <w:bookmarkEnd w:id="1"/>
      <w:r w:rsidR="004D6CBD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)</w:t>
      </w:r>
      <w:r w:rsidR="00966A73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. </w:t>
      </w:r>
      <w:r w:rsidR="003033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A</w:t>
      </w:r>
      <w:r w:rsidR="004569A7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ntibiotics </w:t>
      </w:r>
      <w:r w:rsidR="00935B24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help in reducing duration of the condition and i</w:t>
      </w:r>
      <w:r w:rsidR="001E2BD3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ncrease</w:t>
      </w:r>
      <w:r w:rsidR="00935B24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the rate of clin</w:t>
      </w:r>
      <w:r w:rsidR="001E2BD3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ical </w:t>
      </w:r>
      <w:r w:rsidR="00B751F9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improvement.</w:t>
      </w:r>
      <w:r w:rsidR="004A2BDA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Initially, treatment of acute and non-bacterial conjunctivitis </w:t>
      </w:r>
      <w:r w:rsidR="00CA3FD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varies with depending with </w:t>
      </w:r>
      <w:r w:rsidR="00CA4078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antimycobacterial </w:t>
      </w:r>
      <w:r w:rsidR="004D6CBD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agent administered</w:t>
      </w:r>
      <w:r w:rsidR="00CA4078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on the affected </w:t>
      </w:r>
      <w:r w:rsidR="00AA6FA4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eye from every six hours for approximately </w:t>
      </w:r>
      <w:r w:rsidR="004D6CBD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five to seven days (</w:t>
      </w:r>
      <w:r w:rsidR="00ED513F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Ryder &amp; Benson, 2022</w:t>
      </w:r>
      <w:r w:rsidR="004D6CBD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). </w:t>
      </w:r>
      <w:r w:rsidR="003033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The initial treatment recommended </w:t>
      </w:r>
      <w:r w:rsidR="003033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lastRenderedPageBreak/>
        <w:t xml:space="preserve">by Therapeutic </w:t>
      </w:r>
      <w:r w:rsidR="0036487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Guidelines</w:t>
      </w:r>
      <w:r w:rsidR="0036487E" w:rsidRPr="0016477B">
        <w:rPr>
          <w:rFonts w:ascii="Times New Roman" w:hAnsi="Times New Roman" w:cs="Times New Roman"/>
          <w:sz w:val="24"/>
          <w:szCs w:val="24"/>
        </w:rPr>
        <w:t xml:space="preserve"> </w:t>
      </w:r>
      <w:r w:rsidR="0036487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for</w:t>
      </w:r>
      <w:r w:rsidR="00411C6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bacterial conjunctivitis is </w:t>
      </w:r>
      <w:r w:rsidR="003033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chloramphenicol 0.5% eye drops</w:t>
      </w:r>
      <w:r w:rsidR="00411C6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with administration of </w:t>
      </w:r>
      <w:r w:rsidR="003033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one to two drops every two hours for the first 24 hours,</w:t>
      </w:r>
      <w:r w:rsidR="003060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and</w:t>
      </w:r>
      <w:r w:rsidR="003033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decreas</w:t>
      </w:r>
      <w:r w:rsidR="003060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e</w:t>
      </w:r>
      <w:r w:rsidR="003033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to six-hourly until the discharge resolves, for up to seven days</w:t>
      </w:r>
      <w:r w:rsidR="004E44AD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</w:t>
      </w:r>
      <w:r w:rsidR="003060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(</w:t>
      </w:r>
      <w:bookmarkStart w:id="2" w:name="_Hlk120100101"/>
      <w:r w:rsidR="00F83265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Watson et al., 2018</w:t>
      </w:r>
      <w:bookmarkEnd w:id="2"/>
      <w:r w:rsidR="003060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). The medication is the </w:t>
      </w:r>
      <w:r w:rsidR="00F83265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most used</w:t>
      </w:r>
      <w:r w:rsidR="0030603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first-line </w:t>
      </w:r>
      <w:r w:rsidR="0036487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antibiotic for bacterial </w:t>
      </w:r>
      <w:r w:rsidR="003F064D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conjunctivitis</w:t>
      </w:r>
      <w:r w:rsidR="0036487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since it is a </w:t>
      </w:r>
      <w:r w:rsidR="00E87D7D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bacteri</w:t>
      </w:r>
      <w:r w:rsidR="003C4B75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ostatic </w:t>
      </w:r>
      <w:proofErr w:type="gramStart"/>
      <w:r w:rsidR="003C4B75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broad spectrum</w:t>
      </w:r>
      <w:proofErr w:type="gramEnd"/>
      <w:r w:rsidR="003C4B75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antibiotic. </w:t>
      </w:r>
    </w:p>
    <w:p w14:paraId="4F99B790" w14:textId="14F8C014" w:rsidR="00EF0C64" w:rsidRPr="0016477B" w:rsidRDefault="00936507" w:rsidP="00BE768E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77B">
        <w:rPr>
          <w:rFonts w:ascii="Times New Roman" w:hAnsi="Times New Roman" w:cs="Times New Roman"/>
          <w:b/>
          <w:bCs/>
          <w:sz w:val="24"/>
          <w:szCs w:val="24"/>
        </w:rPr>
        <w:t>Monitoring the Success of the Therapy</w:t>
      </w:r>
    </w:p>
    <w:p w14:paraId="0D19BCFF" w14:textId="386E4326" w:rsidR="009D1FEF" w:rsidRPr="0016477B" w:rsidRDefault="00931494" w:rsidP="00936507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6477B">
        <w:rPr>
          <w:rFonts w:ascii="Times New Roman" w:hAnsi="Times New Roman" w:cs="Times New Roman"/>
          <w:sz w:val="24"/>
          <w:szCs w:val="24"/>
        </w:rPr>
        <w:t>Conjunctivitis</w:t>
      </w:r>
      <w:r w:rsidR="00862A3F" w:rsidRPr="0016477B">
        <w:rPr>
          <w:rFonts w:ascii="Times New Roman" w:hAnsi="Times New Roman" w:cs="Times New Roman"/>
          <w:sz w:val="24"/>
          <w:szCs w:val="24"/>
        </w:rPr>
        <w:t xml:space="preserve"> is easily treated and usually </w:t>
      </w:r>
      <w:r w:rsidRPr="0016477B">
        <w:rPr>
          <w:rFonts w:ascii="Times New Roman" w:hAnsi="Times New Roman" w:cs="Times New Roman"/>
          <w:sz w:val="24"/>
          <w:szCs w:val="24"/>
        </w:rPr>
        <w:t>benign and self-limiting</w:t>
      </w:r>
      <w:r w:rsidR="002C3407" w:rsidRPr="0016477B">
        <w:rPr>
          <w:rFonts w:ascii="Times New Roman" w:hAnsi="Times New Roman" w:cs="Times New Roman"/>
          <w:sz w:val="24"/>
          <w:szCs w:val="24"/>
        </w:rPr>
        <w:t xml:space="preserve">. The duration of </w:t>
      </w:r>
      <w:r w:rsidR="00E034F0" w:rsidRPr="0016477B">
        <w:rPr>
          <w:rFonts w:ascii="Times New Roman" w:hAnsi="Times New Roman" w:cs="Times New Roman"/>
          <w:sz w:val="24"/>
          <w:szCs w:val="24"/>
        </w:rPr>
        <w:t>symptoms</w:t>
      </w:r>
      <w:r w:rsidR="002C3407" w:rsidRPr="0016477B">
        <w:rPr>
          <w:rFonts w:ascii="Times New Roman" w:hAnsi="Times New Roman" w:cs="Times New Roman"/>
          <w:sz w:val="24"/>
          <w:szCs w:val="24"/>
        </w:rPr>
        <w:t xml:space="preserve"> </w:t>
      </w:r>
      <w:r w:rsidR="00EB1DDC" w:rsidRPr="0016477B">
        <w:rPr>
          <w:rFonts w:ascii="Times New Roman" w:hAnsi="Times New Roman" w:cs="Times New Roman"/>
          <w:sz w:val="24"/>
          <w:szCs w:val="24"/>
        </w:rPr>
        <w:t>depends</w:t>
      </w:r>
      <w:r w:rsidR="002C3407" w:rsidRPr="0016477B">
        <w:rPr>
          <w:rFonts w:ascii="Times New Roman" w:hAnsi="Times New Roman" w:cs="Times New Roman"/>
          <w:sz w:val="24"/>
          <w:szCs w:val="24"/>
        </w:rPr>
        <w:t xml:space="preserve"> on type and cause of the condition. A patient with bacterial </w:t>
      </w:r>
      <w:r w:rsidR="00E034F0" w:rsidRPr="0016477B">
        <w:rPr>
          <w:rFonts w:ascii="Times New Roman" w:hAnsi="Times New Roman" w:cs="Times New Roman"/>
          <w:sz w:val="24"/>
          <w:szCs w:val="24"/>
        </w:rPr>
        <w:t>conjunctivitis, symptoms tends to last seven to ten days although these can be shortened to six days</w:t>
      </w:r>
      <w:r w:rsidR="00CF6AAB" w:rsidRPr="0016477B">
        <w:rPr>
          <w:rFonts w:ascii="Times New Roman" w:hAnsi="Times New Roman" w:cs="Times New Roman"/>
          <w:sz w:val="24"/>
          <w:szCs w:val="24"/>
        </w:rPr>
        <w:t xml:space="preserve"> of onset</w:t>
      </w:r>
      <w:r w:rsidR="00E034F0" w:rsidRPr="0016477B">
        <w:rPr>
          <w:rFonts w:ascii="Times New Roman" w:hAnsi="Times New Roman" w:cs="Times New Roman"/>
          <w:sz w:val="24"/>
          <w:szCs w:val="24"/>
        </w:rPr>
        <w:t xml:space="preserve"> with administration of antibiotic </w:t>
      </w:r>
      <w:r w:rsidR="00EB1DDC" w:rsidRPr="0016477B">
        <w:rPr>
          <w:rFonts w:ascii="Times New Roman" w:hAnsi="Times New Roman" w:cs="Times New Roman"/>
          <w:sz w:val="24"/>
          <w:szCs w:val="24"/>
        </w:rPr>
        <w:t>administration (</w:t>
      </w:r>
      <w:r w:rsidR="009D1FEF" w:rsidRPr="0016477B">
        <w:rPr>
          <w:rFonts w:ascii="Times New Roman" w:hAnsi="Times New Roman" w:cs="Times New Roman"/>
          <w:sz w:val="24"/>
          <w:szCs w:val="24"/>
        </w:rPr>
        <w:t>Ryder &amp; Benson, 2022</w:t>
      </w:r>
      <w:r w:rsidR="00EB1DDC" w:rsidRPr="0016477B">
        <w:rPr>
          <w:rFonts w:ascii="Times New Roman" w:hAnsi="Times New Roman" w:cs="Times New Roman"/>
          <w:sz w:val="24"/>
          <w:szCs w:val="24"/>
        </w:rPr>
        <w:t xml:space="preserve">). With administration of antibiotic drops for five, the patient should </w:t>
      </w:r>
      <w:r w:rsidR="00CF6AAB" w:rsidRPr="0016477B">
        <w:rPr>
          <w:rFonts w:ascii="Times New Roman" w:hAnsi="Times New Roman" w:cs="Times New Roman"/>
          <w:sz w:val="24"/>
          <w:szCs w:val="24"/>
        </w:rPr>
        <w:t>present reduced symptoms and achieve normalcy within a week</w:t>
      </w:r>
      <w:r w:rsidR="00184140" w:rsidRPr="0016477B">
        <w:rPr>
          <w:rFonts w:ascii="Times New Roman" w:hAnsi="Times New Roman" w:cs="Times New Roman"/>
          <w:sz w:val="24"/>
          <w:szCs w:val="24"/>
        </w:rPr>
        <w:t xml:space="preserve"> characterized by no discharge </w:t>
      </w:r>
      <w:r w:rsidR="00181D4D" w:rsidRPr="0016477B">
        <w:rPr>
          <w:rFonts w:ascii="Times New Roman" w:hAnsi="Times New Roman" w:cs="Times New Roman"/>
          <w:sz w:val="24"/>
          <w:szCs w:val="24"/>
        </w:rPr>
        <w:t xml:space="preserve">and no foreign body sensation. If the symptoms </w:t>
      </w:r>
      <w:proofErr w:type="gramStart"/>
      <w:r w:rsidR="00181D4D" w:rsidRPr="0016477B">
        <w:rPr>
          <w:rFonts w:ascii="Times New Roman" w:hAnsi="Times New Roman" w:cs="Times New Roman"/>
          <w:sz w:val="24"/>
          <w:szCs w:val="24"/>
        </w:rPr>
        <w:t>persists</w:t>
      </w:r>
      <w:proofErr w:type="gramEnd"/>
      <w:r w:rsidR="00181D4D" w:rsidRPr="0016477B">
        <w:rPr>
          <w:rFonts w:ascii="Times New Roman" w:hAnsi="Times New Roman" w:cs="Times New Roman"/>
          <w:sz w:val="24"/>
          <w:szCs w:val="24"/>
        </w:rPr>
        <w:t xml:space="preserve"> </w:t>
      </w:r>
      <w:r w:rsidR="00BF3DEC" w:rsidRPr="0016477B">
        <w:rPr>
          <w:rFonts w:ascii="Times New Roman" w:hAnsi="Times New Roman" w:cs="Times New Roman"/>
          <w:sz w:val="24"/>
          <w:szCs w:val="24"/>
        </w:rPr>
        <w:t xml:space="preserve">for more the five to seven days upon antibiotic administration, the patient should be referred to an ophthalmologist for further reevaluation. </w:t>
      </w:r>
      <w:r w:rsidR="005E146C" w:rsidRPr="0016477B">
        <w:rPr>
          <w:rFonts w:ascii="Times New Roman" w:hAnsi="Times New Roman" w:cs="Times New Roman"/>
          <w:sz w:val="24"/>
          <w:szCs w:val="24"/>
        </w:rPr>
        <w:t xml:space="preserve">As such, it is crucial to monitor plasma concentration by performing blood tests including </w:t>
      </w:r>
      <w:r w:rsidR="00BD721B" w:rsidRPr="0016477B">
        <w:rPr>
          <w:rFonts w:ascii="Times New Roman" w:hAnsi="Times New Roman" w:cs="Times New Roman"/>
          <w:sz w:val="24"/>
          <w:szCs w:val="24"/>
        </w:rPr>
        <w:t xml:space="preserve">complete blood count, urea and electrolytes, as well as renal function tests. </w:t>
      </w:r>
    </w:p>
    <w:p w14:paraId="1974BAAB" w14:textId="32E35684" w:rsidR="00EF0C64" w:rsidRPr="0016477B" w:rsidRDefault="00936507" w:rsidP="0093650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77B">
        <w:rPr>
          <w:rFonts w:ascii="Times New Roman" w:hAnsi="Times New Roman" w:cs="Times New Roman"/>
          <w:b/>
          <w:bCs/>
          <w:sz w:val="24"/>
          <w:szCs w:val="24"/>
        </w:rPr>
        <w:t>Patient Education to The Parents Regarding Drug Therapy</w:t>
      </w:r>
    </w:p>
    <w:p w14:paraId="2E29EE71" w14:textId="1A80C3FE" w:rsidR="00EF0C64" w:rsidRPr="0016477B" w:rsidRDefault="00584517" w:rsidP="00584517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6477B">
        <w:rPr>
          <w:rFonts w:ascii="Times New Roman" w:hAnsi="Times New Roman" w:cs="Times New Roman"/>
          <w:sz w:val="24"/>
          <w:szCs w:val="24"/>
        </w:rPr>
        <w:t xml:space="preserve">Patient education is vital </w:t>
      </w:r>
      <w:r w:rsidR="007653AD" w:rsidRPr="0016477B">
        <w:rPr>
          <w:rFonts w:ascii="Times New Roman" w:hAnsi="Times New Roman" w:cs="Times New Roman"/>
          <w:sz w:val="24"/>
          <w:szCs w:val="24"/>
        </w:rPr>
        <w:t xml:space="preserve">prevention of transmission. </w:t>
      </w:r>
      <w:r w:rsidR="00820157" w:rsidRPr="0016477B">
        <w:rPr>
          <w:rFonts w:ascii="Times New Roman" w:hAnsi="Times New Roman" w:cs="Times New Roman"/>
          <w:sz w:val="24"/>
          <w:szCs w:val="24"/>
        </w:rPr>
        <w:t xml:space="preserve">There is intense use of antibiotics promoting the proliferation of existing </w:t>
      </w:r>
      <w:r w:rsidR="008715BD" w:rsidRPr="0016477B">
        <w:rPr>
          <w:rFonts w:ascii="Times New Roman" w:hAnsi="Times New Roman" w:cs="Times New Roman"/>
          <w:sz w:val="24"/>
          <w:szCs w:val="24"/>
        </w:rPr>
        <w:t>bacterial resistance. The parent should be educated on adherence to</w:t>
      </w:r>
      <w:r w:rsidR="00107F0D" w:rsidRPr="0016477B">
        <w:rPr>
          <w:rFonts w:ascii="Times New Roman" w:hAnsi="Times New Roman" w:cs="Times New Roman"/>
          <w:sz w:val="24"/>
          <w:szCs w:val="24"/>
        </w:rPr>
        <w:t xml:space="preserve"> antibiotic administration</w:t>
      </w:r>
      <w:r w:rsidR="00441269" w:rsidRPr="0016477B">
        <w:rPr>
          <w:rFonts w:ascii="Times New Roman" w:hAnsi="Times New Roman" w:cs="Times New Roman"/>
          <w:sz w:val="24"/>
          <w:szCs w:val="24"/>
        </w:rPr>
        <w:t>. The pa</w:t>
      </w:r>
      <w:r w:rsidR="00FB1A01" w:rsidRPr="0016477B">
        <w:rPr>
          <w:rFonts w:ascii="Times New Roman" w:hAnsi="Times New Roman" w:cs="Times New Roman"/>
          <w:sz w:val="24"/>
          <w:szCs w:val="24"/>
        </w:rPr>
        <w:t xml:space="preserve">rent should be educated on importance of hand hygiene, avoid touching his eyes, sharing personal items </w:t>
      </w:r>
      <w:r w:rsidR="002F0391" w:rsidRPr="0016477B">
        <w:rPr>
          <w:rFonts w:ascii="Times New Roman" w:hAnsi="Times New Roman" w:cs="Times New Roman"/>
          <w:sz w:val="24"/>
          <w:szCs w:val="24"/>
        </w:rPr>
        <w:t xml:space="preserve">and avoid swimming pools during the treatment period to achieve optimal health outcomes. </w:t>
      </w:r>
      <w:r w:rsidR="00963C06" w:rsidRPr="0016477B">
        <w:rPr>
          <w:rFonts w:ascii="Times New Roman" w:hAnsi="Times New Roman" w:cs="Times New Roman"/>
          <w:sz w:val="24"/>
          <w:szCs w:val="24"/>
        </w:rPr>
        <w:t xml:space="preserve">The parent should also be advised on </w:t>
      </w:r>
      <w:r w:rsidR="00963C06" w:rsidRPr="0016477B">
        <w:rPr>
          <w:rFonts w:ascii="Times New Roman" w:hAnsi="Times New Roman" w:cs="Times New Roman"/>
          <w:sz w:val="24"/>
          <w:szCs w:val="24"/>
        </w:rPr>
        <w:lastRenderedPageBreak/>
        <w:t xml:space="preserve">punctual </w:t>
      </w:r>
      <w:r w:rsidR="005037F3" w:rsidRPr="0016477B">
        <w:rPr>
          <w:rFonts w:ascii="Times New Roman" w:hAnsi="Times New Roman" w:cs="Times New Roman"/>
          <w:sz w:val="24"/>
          <w:szCs w:val="24"/>
        </w:rPr>
        <w:t>occlusion</w:t>
      </w:r>
      <w:r w:rsidR="00963C06" w:rsidRPr="0016477B">
        <w:rPr>
          <w:rFonts w:ascii="Times New Roman" w:hAnsi="Times New Roman" w:cs="Times New Roman"/>
          <w:sz w:val="24"/>
          <w:szCs w:val="24"/>
        </w:rPr>
        <w:t>, naso</w:t>
      </w:r>
      <w:r w:rsidR="005037F3" w:rsidRPr="0016477B">
        <w:rPr>
          <w:rFonts w:ascii="Times New Roman" w:hAnsi="Times New Roman" w:cs="Times New Roman"/>
          <w:sz w:val="24"/>
          <w:szCs w:val="24"/>
        </w:rPr>
        <w:t>la</w:t>
      </w:r>
      <w:r w:rsidR="00963C06" w:rsidRPr="0016477B">
        <w:rPr>
          <w:rFonts w:ascii="Times New Roman" w:hAnsi="Times New Roman" w:cs="Times New Roman"/>
          <w:sz w:val="24"/>
          <w:szCs w:val="24"/>
        </w:rPr>
        <w:t>crimal</w:t>
      </w:r>
      <w:r w:rsidR="005037F3" w:rsidRPr="0016477B">
        <w:rPr>
          <w:rFonts w:ascii="Times New Roman" w:hAnsi="Times New Roman" w:cs="Times New Roman"/>
          <w:sz w:val="24"/>
          <w:szCs w:val="24"/>
        </w:rPr>
        <w:t xml:space="preserve"> </w:t>
      </w:r>
      <w:r w:rsidR="00963C06" w:rsidRPr="0016477B">
        <w:rPr>
          <w:rFonts w:ascii="Times New Roman" w:hAnsi="Times New Roman" w:cs="Times New Roman"/>
          <w:sz w:val="24"/>
          <w:szCs w:val="24"/>
        </w:rPr>
        <w:t>pressure and wiping extra fluid to prevent systemic absorption</w:t>
      </w:r>
      <w:r w:rsidR="005037F3" w:rsidRPr="0016477B">
        <w:rPr>
          <w:rFonts w:ascii="Times New Roman" w:hAnsi="Times New Roman" w:cs="Times New Roman"/>
          <w:sz w:val="24"/>
          <w:szCs w:val="24"/>
        </w:rPr>
        <w:t xml:space="preserve"> (</w:t>
      </w:r>
      <w:r w:rsidR="00173EDE" w:rsidRPr="0016477B">
        <w:rPr>
          <w:rStyle w:val="Emphasis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Watson et al., 2018</w:t>
      </w:r>
      <w:r w:rsidR="005037F3" w:rsidRPr="0016477B">
        <w:rPr>
          <w:rFonts w:ascii="Times New Roman" w:hAnsi="Times New Roman" w:cs="Times New Roman"/>
          <w:sz w:val="24"/>
          <w:szCs w:val="24"/>
        </w:rPr>
        <w:t>)</w:t>
      </w:r>
      <w:r w:rsidR="00963C06" w:rsidRPr="0016477B">
        <w:rPr>
          <w:rFonts w:ascii="Times New Roman" w:hAnsi="Times New Roman" w:cs="Times New Roman"/>
          <w:sz w:val="24"/>
          <w:szCs w:val="24"/>
        </w:rPr>
        <w:t xml:space="preserve">. </w:t>
      </w:r>
      <w:r w:rsidR="00BD721B" w:rsidRPr="0016477B">
        <w:rPr>
          <w:rFonts w:ascii="Times New Roman" w:hAnsi="Times New Roman" w:cs="Times New Roman"/>
          <w:sz w:val="24"/>
          <w:szCs w:val="24"/>
        </w:rPr>
        <w:t xml:space="preserve">Parent should be educated on signs and symptoms to monitor any side </w:t>
      </w:r>
      <w:r w:rsidR="00116C6C" w:rsidRPr="0016477B">
        <w:rPr>
          <w:rFonts w:ascii="Times New Roman" w:hAnsi="Times New Roman" w:cs="Times New Roman"/>
          <w:sz w:val="24"/>
          <w:szCs w:val="24"/>
        </w:rPr>
        <w:t>effects</w:t>
      </w:r>
      <w:r w:rsidR="00BD721B" w:rsidRPr="0016477B">
        <w:rPr>
          <w:rFonts w:ascii="Times New Roman" w:hAnsi="Times New Roman" w:cs="Times New Roman"/>
          <w:sz w:val="24"/>
          <w:szCs w:val="24"/>
        </w:rPr>
        <w:t xml:space="preserve"> such as </w:t>
      </w:r>
      <w:r w:rsidR="00116C6C" w:rsidRPr="0016477B">
        <w:rPr>
          <w:rFonts w:ascii="Times New Roman" w:hAnsi="Times New Roman" w:cs="Times New Roman"/>
          <w:sz w:val="24"/>
          <w:szCs w:val="24"/>
        </w:rPr>
        <w:t>aplastic anemia, including excessive tiredness, easy bruising, petechial rash and</w:t>
      </w:r>
      <w:r w:rsidR="0004538D" w:rsidRPr="0016477B">
        <w:rPr>
          <w:rFonts w:ascii="Times New Roman" w:hAnsi="Times New Roman" w:cs="Times New Roman"/>
          <w:sz w:val="24"/>
          <w:szCs w:val="24"/>
        </w:rPr>
        <w:t xml:space="preserve"> bleeding gums to </w:t>
      </w:r>
      <w:r w:rsidR="00116C6C" w:rsidRPr="0016477B">
        <w:rPr>
          <w:rFonts w:ascii="Times New Roman" w:hAnsi="Times New Roman" w:cs="Times New Roman"/>
          <w:sz w:val="24"/>
          <w:szCs w:val="24"/>
        </w:rPr>
        <w:t xml:space="preserve">encourage the parent to report </w:t>
      </w:r>
      <w:r w:rsidR="0004538D" w:rsidRPr="0016477B">
        <w:rPr>
          <w:rFonts w:ascii="Times New Roman" w:hAnsi="Times New Roman" w:cs="Times New Roman"/>
          <w:sz w:val="24"/>
          <w:szCs w:val="24"/>
        </w:rPr>
        <w:t xml:space="preserve">them </w:t>
      </w:r>
      <w:r w:rsidR="00116C6C" w:rsidRPr="0016477B">
        <w:rPr>
          <w:rFonts w:ascii="Times New Roman" w:hAnsi="Times New Roman" w:cs="Times New Roman"/>
          <w:sz w:val="24"/>
          <w:szCs w:val="24"/>
        </w:rPr>
        <w:t>during treatment</w:t>
      </w:r>
      <w:r w:rsidR="0004538D" w:rsidRPr="001647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1D39" w:rsidRPr="0016477B">
        <w:rPr>
          <w:rFonts w:ascii="Times New Roman" w:hAnsi="Times New Roman" w:cs="Times New Roman"/>
          <w:sz w:val="24"/>
          <w:szCs w:val="24"/>
        </w:rPr>
        <w:t>Oong</w:t>
      </w:r>
      <w:proofErr w:type="spellEnd"/>
      <w:r w:rsidR="003C1D39" w:rsidRPr="0016477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C1D39" w:rsidRPr="0016477B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="003C1D39" w:rsidRPr="0016477B">
        <w:rPr>
          <w:rFonts w:ascii="Times New Roman" w:hAnsi="Times New Roman" w:cs="Times New Roman"/>
          <w:sz w:val="24"/>
          <w:szCs w:val="24"/>
        </w:rPr>
        <w:t>, 2022</w:t>
      </w:r>
      <w:r w:rsidR="0004538D" w:rsidRPr="0016477B">
        <w:rPr>
          <w:rFonts w:ascii="Times New Roman" w:hAnsi="Times New Roman" w:cs="Times New Roman"/>
          <w:sz w:val="24"/>
          <w:szCs w:val="24"/>
        </w:rPr>
        <w:t>).</w:t>
      </w:r>
    </w:p>
    <w:p w14:paraId="19AD20FF" w14:textId="5783D707" w:rsidR="00D16007" w:rsidRPr="0016477B" w:rsidRDefault="00173EDE" w:rsidP="00173EDE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77B">
        <w:rPr>
          <w:rFonts w:ascii="Times New Roman" w:hAnsi="Times New Roman" w:cs="Times New Roman"/>
          <w:b/>
          <w:bCs/>
          <w:sz w:val="24"/>
          <w:szCs w:val="24"/>
        </w:rPr>
        <w:t>Adverse Reactions That Leads to Change Therapy</w:t>
      </w:r>
    </w:p>
    <w:p w14:paraId="4519DF87" w14:textId="580DFE9D" w:rsidR="001357B7" w:rsidRPr="0016477B" w:rsidRDefault="001357B7" w:rsidP="001579C3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477B">
        <w:rPr>
          <w:rFonts w:ascii="Times New Roman" w:hAnsi="Times New Roman" w:cs="Times New Roman"/>
          <w:sz w:val="24"/>
          <w:szCs w:val="24"/>
        </w:rPr>
        <w:t xml:space="preserve">Chloramphenicol is associated with severe hematological side effects after a systemic </w:t>
      </w:r>
      <w:r w:rsidR="00445E09" w:rsidRPr="0016477B">
        <w:rPr>
          <w:rFonts w:ascii="Times New Roman" w:hAnsi="Times New Roman" w:cs="Times New Roman"/>
          <w:sz w:val="24"/>
          <w:szCs w:val="24"/>
        </w:rPr>
        <w:t>administration causing fatal aplastic anemia</w:t>
      </w:r>
      <w:r w:rsidR="00BE0293" w:rsidRPr="0016477B">
        <w:rPr>
          <w:rFonts w:ascii="Times New Roman" w:hAnsi="Times New Roman" w:cs="Times New Roman"/>
          <w:sz w:val="24"/>
          <w:szCs w:val="24"/>
        </w:rPr>
        <w:t>, bone marrow suppression</w:t>
      </w:r>
      <w:r w:rsidR="00445E09" w:rsidRPr="0016477B">
        <w:rPr>
          <w:rFonts w:ascii="Times New Roman" w:hAnsi="Times New Roman" w:cs="Times New Roman"/>
          <w:sz w:val="24"/>
          <w:szCs w:val="24"/>
        </w:rPr>
        <w:t xml:space="preserve"> and potential </w:t>
      </w:r>
      <w:r w:rsidR="00A8541F" w:rsidRPr="0016477B">
        <w:rPr>
          <w:rFonts w:ascii="Times New Roman" w:hAnsi="Times New Roman" w:cs="Times New Roman"/>
          <w:sz w:val="24"/>
          <w:szCs w:val="24"/>
        </w:rPr>
        <w:t>increased risks with cimetidine. The adverse side effect most likely occurs due to systemic absorption</w:t>
      </w:r>
      <w:r w:rsidR="00BE0293" w:rsidRPr="0016477B">
        <w:rPr>
          <w:rFonts w:ascii="Times New Roman" w:hAnsi="Times New Roman" w:cs="Times New Roman"/>
          <w:sz w:val="24"/>
          <w:szCs w:val="24"/>
        </w:rPr>
        <w:t xml:space="preserve"> and hence need to change the drug (</w:t>
      </w:r>
      <w:bookmarkStart w:id="3" w:name="_Hlk120108979"/>
      <w:proofErr w:type="spellStart"/>
      <w:r w:rsidR="003C1D39" w:rsidRPr="0016477B">
        <w:rPr>
          <w:rFonts w:ascii="Times New Roman" w:hAnsi="Times New Roman" w:cs="Times New Roman"/>
          <w:sz w:val="24"/>
          <w:szCs w:val="24"/>
        </w:rPr>
        <w:t>Oong</w:t>
      </w:r>
      <w:proofErr w:type="spellEnd"/>
      <w:r w:rsidR="003C1D39" w:rsidRPr="0016477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C1D39" w:rsidRPr="0016477B">
        <w:rPr>
          <w:rFonts w:ascii="Times New Roman" w:hAnsi="Times New Roman" w:cs="Times New Roman"/>
          <w:sz w:val="24"/>
          <w:szCs w:val="24"/>
        </w:rPr>
        <w:t>Tadi</w:t>
      </w:r>
      <w:proofErr w:type="spellEnd"/>
      <w:r w:rsidR="003C1D39" w:rsidRPr="0016477B">
        <w:rPr>
          <w:rFonts w:ascii="Times New Roman" w:hAnsi="Times New Roman" w:cs="Times New Roman"/>
          <w:sz w:val="24"/>
          <w:szCs w:val="24"/>
        </w:rPr>
        <w:t>, 2022</w:t>
      </w:r>
      <w:bookmarkEnd w:id="3"/>
      <w:r w:rsidR="00BE0293" w:rsidRPr="0016477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6A63783" w14:textId="56A2F83B" w:rsidR="00EF0C64" w:rsidRPr="0016477B" w:rsidRDefault="003626D5" w:rsidP="003626D5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77B">
        <w:rPr>
          <w:rFonts w:ascii="Times New Roman" w:hAnsi="Times New Roman" w:cs="Times New Roman"/>
          <w:b/>
          <w:bCs/>
          <w:sz w:val="24"/>
          <w:szCs w:val="24"/>
        </w:rPr>
        <w:t>Second-Line Therapy Choice</w:t>
      </w:r>
    </w:p>
    <w:p w14:paraId="11AC9527" w14:textId="0786EBA5" w:rsidR="005B0517" w:rsidRPr="0016477B" w:rsidRDefault="004A638B" w:rsidP="00F15FF5">
      <w:p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16477B">
        <w:rPr>
          <w:rFonts w:ascii="Times New Roman" w:hAnsi="Times New Roman" w:cs="Times New Roman"/>
          <w:sz w:val="24"/>
          <w:szCs w:val="24"/>
        </w:rPr>
        <w:t xml:space="preserve">The second choice for second line therapy involves administration of topical antibiotics which are effective in attaining clinical and microbial use in treating patients with positive cultures </w:t>
      </w:r>
      <w:r w:rsidR="003B708D" w:rsidRPr="0016477B">
        <w:rPr>
          <w:rFonts w:ascii="Times New Roman" w:hAnsi="Times New Roman" w:cs="Times New Roman"/>
          <w:sz w:val="24"/>
          <w:szCs w:val="24"/>
        </w:rPr>
        <w:t xml:space="preserve">such as Azithromycin two times a day for </w:t>
      </w:r>
      <w:r w:rsidR="00F15FF5" w:rsidRPr="0016477B">
        <w:rPr>
          <w:rFonts w:ascii="Times New Roman" w:hAnsi="Times New Roman" w:cs="Times New Roman"/>
          <w:sz w:val="24"/>
          <w:szCs w:val="24"/>
        </w:rPr>
        <w:t>two</w:t>
      </w:r>
      <w:r w:rsidR="003B708D" w:rsidRPr="0016477B">
        <w:rPr>
          <w:rFonts w:ascii="Times New Roman" w:hAnsi="Times New Roman" w:cs="Times New Roman"/>
          <w:sz w:val="24"/>
          <w:szCs w:val="24"/>
        </w:rPr>
        <w:t xml:space="preserve"> d</w:t>
      </w:r>
      <w:r w:rsidR="00F15FF5" w:rsidRPr="0016477B">
        <w:rPr>
          <w:rFonts w:ascii="Times New Roman" w:hAnsi="Times New Roman" w:cs="Times New Roman"/>
          <w:sz w:val="24"/>
          <w:szCs w:val="24"/>
        </w:rPr>
        <w:t>ays</w:t>
      </w:r>
      <w:r w:rsidR="003B708D" w:rsidRPr="0016477B">
        <w:rPr>
          <w:rFonts w:ascii="Times New Roman" w:hAnsi="Times New Roman" w:cs="Times New Roman"/>
          <w:sz w:val="24"/>
          <w:szCs w:val="24"/>
        </w:rPr>
        <w:t xml:space="preserve">; then </w:t>
      </w:r>
      <w:r w:rsidR="00F15FF5" w:rsidRPr="0016477B">
        <w:rPr>
          <w:rFonts w:ascii="Times New Roman" w:hAnsi="Times New Roman" w:cs="Times New Roman"/>
          <w:sz w:val="24"/>
          <w:szCs w:val="24"/>
        </w:rPr>
        <w:t>a</w:t>
      </w:r>
      <w:r w:rsidR="003B708D" w:rsidRPr="0016477B">
        <w:rPr>
          <w:rFonts w:ascii="Times New Roman" w:hAnsi="Times New Roman" w:cs="Times New Roman"/>
          <w:sz w:val="24"/>
          <w:szCs w:val="24"/>
        </w:rPr>
        <w:t xml:space="preserve"> drop daily for </w:t>
      </w:r>
      <w:r w:rsidR="00F15FF5" w:rsidRPr="0016477B">
        <w:rPr>
          <w:rFonts w:ascii="Times New Roman" w:hAnsi="Times New Roman" w:cs="Times New Roman"/>
          <w:sz w:val="24"/>
          <w:szCs w:val="24"/>
        </w:rPr>
        <w:t>five</w:t>
      </w:r>
      <w:r w:rsidR="003B708D" w:rsidRPr="0016477B">
        <w:rPr>
          <w:rFonts w:ascii="Times New Roman" w:hAnsi="Times New Roman" w:cs="Times New Roman"/>
          <w:sz w:val="24"/>
          <w:szCs w:val="24"/>
        </w:rPr>
        <w:t xml:space="preserve"> d</w:t>
      </w:r>
      <w:r w:rsidR="00F15FF5" w:rsidRPr="0016477B">
        <w:rPr>
          <w:rFonts w:ascii="Times New Roman" w:hAnsi="Times New Roman" w:cs="Times New Roman"/>
          <w:sz w:val="24"/>
          <w:szCs w:val="24"/>
        </w:rPr>
        <w:t xml:space="preserve">ays or </w:t>
      </w:r>
      <w:r w:rsidR="003B708D" w:rsidRPr="0016477B">
        <w:rPr>
          <w:rFonts w:ascii="Times New Roman" w:hAnsi="Times New Roman" w:cs="Times New Roman"/>
          <w:sz w:val="24"/>
          <w:szCs w:val="24"/>
        </w:rPr>
        <w:t>Erythromyci</w:t>
      </w:r>
      <w:r w:rsidR="00F15FF5" w:rsidRPr="0016477B">
        <w:rPr>
          <w:rFonts w:ascii="Times New Roman" w:hAnsi="Times New Roman" w:cs="Times New Roman"/>
          <w:sz w:val="24"/>
          <w:szCs w:val="24"/>
        </w:rPr>
        <w:t xml:space="preserve">n for four </w:t>
      </w:r>
      <w:r w:rsidR="003626D5" w:rsidRPr="0016477B">
        <w:rPr>
          <w:rFonts w:ascii="Times New Roman" w:hAnsi="Times New Roman" w:cs="Times New Roman"/>
          <w:sz w:val="24"/>
          <w:szCs w:val="24"/>
        </w:rPr>
        <w:t>times per day for a week (</w:t>
      </w:r>
      <w:r w:rsidR="00BA037E" w:rsidRPr="0016477B">
        <w:rPr>
          <w:rFonts w:ascii="Times New Roman" w:hAnsi="Times New Roman" w:cs="Times New Roman"/>
          <w:sz w:val="24"/>
          <w:szCs w:val="24"/>
        </w:rPr>
        <w:t>Azari &amp; Arabi, 2020</w:t>
      </w:r>
      <w:r w:rsidR="003626D5" w:rsidRPr="0016477B">
        <w:rPr>
          <w:rFonts w:ascii="Times New Roman" w:hAnsi="Times New Roman" w:cs="Times New Roman"/>
          <w:sz w:val="24"/>
          <w:szCs w:val="24"/>
        </w:rPr>
        <w:t>).</w:t>
      </w:r>
    </w:p>
    <w:p w14:paraId="24E2B69C" w14:textId="7F1C1AE1" w:rsidR="00A00F13" w:rsidRPr="0016477B" w:rsidRDefault="00BA37BC" w:rsidP="00BA37BC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77B">
        <w:rPr>
          <w:rFonts w:ascii="Times New Roman" w:hAnsi="Times New Roman" w:cs="Times New Roman"/>
          <w:b/>
          <w:bCs/>
          <w:sz w:val="24"/>
          <w:szCs w:val="24"/>
        </w:rPr>
        <w:t>Over-The-Counter or Alternative Medications</w:t>
      </w:r>
    </w:p>
    <w:p w14:paraId="4C03157F" w14:textId="1EF60801" w:rsidR="00A65424" w:rsidRPr="0016477B" w:rsidRDefault="00BA37BC" w:rsidP="00934A06">
      <w:pPr>
        <w:spacing w:line="480" w:lineRule="auto"/>
        <w:ind w:firstLine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1647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Some of the over-the-counter or alternative medications include </w:t>
      </w:r>
      <w:r w:rsidR="00473599" w:rsidRPr="001647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oral acyclovir 800mg five times a day for 7 to 10 days.</w:t>
      </w:r>
      <w:r w:rsidR="00A65424" w:rsidRPr="001647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Others include </w:t>
      </w:r>
      <w:proofErr w:type="spellStart"/>
      <w:r w:rsidR="00A65424" w:rsidRPr="001647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cyclovir</w:t>
      </w:r>
      <w:proofErr w:type="spellEnd"/>
      <w:r w:rsidR="00A65424" w:rsidRPr="001647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(Zovirax) or trifluridine (</w:t>
      </w:r>
      <w:proofErr w:type="spellStart"/>
      <w:r w:rsidR="00A65424" w:rsidRPr="001647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Viroptic</w:t>
      </w:r>
      <w:proofErr w:type="spellEnd"/>
      <w:r w:rsidR="00A65424" w:rsidRPr="001647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),</w:t>
      </w:r>
      <w:r w:rsidR="00A65424" w:rsidRPr="0016477B">
        <w:rPr>
          <w:rFonts w:ascii="Times New Roman" w:hAnsi="Times New Roman" w:cs="Times New Roman"/>
          <w:sz w:val="24"/>
          <w:szCs w:val="24"/>
        </w:rPr>
        <w:t xml:space="preserve"> </w:t>
      </w:r>
      <w:r w:rsidR="00805C52" w:rsidRPr="0016477B">
        <w:rPr>
          <w:rFonts w:ascii="Times New Roman" w:hAnsi="Times New Roman" w:cs="Times New Roman"/>
          <w:sz w:val="24"/>
          <w:szCs w:val="24"/>
        </w:rPr>
        <w:t xml:space="preserve">and </w:t>
      </w:r>
      <w:r w:rsidR="00A65424" w:rsidRPr="001647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Trimethoprim with polymyxin B</w:t>
      </w:r>
      <w:r w:rsidR="00934A06" w:rsidRPr="001647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4189888E" w14:textId="49938287" w:rsidR="00EF0C64" w:rsidRPr="0016477B" w:rsidRDefault="00934A06" w:rsidP="00611D2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77B">
        <w:rPr>
          <w:rFonts w:ascii="Times New Roman" w:hAnsi="Times New Roman" w:cs="Times New Roman"/>
          <w:b/>
          <w:bCs/>
          <w:sz w:val="24"/>
          <w:szCs w:val="24"/>
        </w:rPr>
        <w:t xml:space="preserve">Dietary </w:t>
      </w:r>
      <w:r w:rsidR="00611D2D" w:rsidRPr="0016477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16477B">
        <w:rPr>
          <w:rFonts w:ascii="Times New Roman" w:hAnsi="Times New Roman" w:cs="Times New Roman"/>
          <w:b/>
          <w:bCs/>
          <w:sz w:val="24"/>
          <w:szCs w:val="24"/>
        </w:rPr>
        <w:t xml:space="preserve"> Lifestyle Changes</w:t>
      </w:r>
    </w:p>
    <w:p w14:paraId="5448982F" w14:textId="778237F1" w:rsidR="005B0517" w:rsidRPr="0016477B" w:rsidRDefault="002743B6" w:rsidP="00896F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477B">
        <w:rPr>
          <w:rFonts w:ascii="Times New Roman" w:hAnsi="Times New Roman" w:cs="Times New Roman"/>
          <w:sz w:val="24"/>
          <w:szCs w:val="24"/>
        </w:rPr>
        <w:t xml:space="preserve">The omega-3 </w:t>
      </w:r>
      <w:r w:rsidR="0000534E" w:rsidRPr="0016477B">
        <w:rPr>
          <w:rFonts w:ascii="Times New Roman" w:hAnsi="Times New Roman" w:cs="Times New Roman"/>
          <w:sz w:val="24"/>
          <w:szCs w:val="24"/>
        </w:rPr>
        <w:t xml:space="preserve">polyunsaturated fatty acids (FAs) </w:t>
      </w:r>
      <w:r w:rsidR="008D1CD2" w:rsidRPr="0016477B">
        <w:rPr>
          <w:rFonts w:ascii="Times New Roman" w:hAnsi="Times New Roman" w:cs="Times New Roman"/>
          <w:sz w:val="24"/>
          <w:szCs w:val="24"/>
        </w:rPr>
        <w:t>obtained from plant sources and oily</w:t>
      </w:r>
      <w:r w:rsidRPr="0016477B">
        <w:rPr>
          <w:rFonts w:ascii="Times New Roman" w:hAnsi="Times New Roman" w:cs="Times New Roman"/>
          <w:sz w:val="24"/>
          <w:szCs w:val="24"/>
        </w:rPr>
        <w:t xml:space="preserve"> fish </w:t>
      </w:r>
      <w:r w:rsidR="00645471" w:rsidRPr="0016477B">
        <w:rPr>
          <w:rFonts w:ascii="Times New Roman" w:hAnsi="Times New Roman" w:cs="Times New Roman"/>
          <w:sz w:val="24"/>
          <w:szCs w:val="24"/>
        </w:rPr>
        <w:t>present as anticoagulant, anti</w:t>
      </w:r>
      <w:r w:rsidR="00A76398" w:rsidRPr="0016477B">
        <w:rPr>
          <w:rFonts w:ascii="Times New Roman" w:hAnsi="Times New Roman" w:cs="Times New Roman"/>
          <w:sz w:val="24"/>
          <w:szCs w:val="24"/>
        </w:rPr>
        <w:t xml:space="preserve">-inflammatory and antihypertensive properties and regulate </w:t>
      </w:r>
      <w:r w:rsidR="00A76398" w:rsidRPr="0016477B">
        <w:rPr>
          <w:rFonts w:ascii="Times New Roman" w:hAnsi="Times New Roman" w:cs="Times New Roman"/>
          <w:sz w:val="24"/>
          <w:szCs w:val="24"/>
        </w:rPr>
        <w:lastRenderedPageBreak/>
        <w:t xml:space="preserve">metabolism of lipids, glucose tolerance and nervous </w:t>
      </w:r>
      <w:r w:rsidR="0042151B" w:rsidRPr="0016477B">
        <w:rPr>
          <w:rFonts w:ascii="Times New Roman" w:hAnsi="Times New Roman" w:cs="Times New Roman"/>
          <w:sz w:val="24"/>
          <w:szCs w:val="24"/>
        </w:rPr>
        <w:t>system</w:t>
      </w:r>
      <w:r w:rsidR="00A76398" w:rsidRPr="0016477B">
        <w:rPr>
          <w:rFonts w:ascii="Times New Roman" w:hAnsi="Times New Roman" w:cs="Times New Roman"/>
          <w:sz w:val="24"/>
          <w:szCs w:val="24"/>
        </w:rPr>
        <w:t xml:space="preserve"> functions</w:t>
      </w:r>
      <w:r w:rsidR="0042151B" w:rsidRPr="0016477B">
        <w:rPr>
          <w:rFonts w:ascii="Times New Roman" w:hAnsi="Times New Roman" w:cs="Times New Roman"/>
          <w:sz w:val="24"/>
          <w:szCs w:val="24"/>
        </w:rPr>
        <w:t xml:space="preserve">. As such, consumption of omega-3 FAs </w:t>
      </w:r>
      <w:r w:rsidR="00167571" w:rsidRPr="0016477B">
        <w:rPr>
          <w:rFonts w:ascii="Times New Roman" w:hAnsi="Times New Roman" w:cs="Times New Roman"/>
          <w:sz w:val="24"/>
          <w:szCs w:val="24"/>
        </w:rPr>
        <w:t xml:space="preserve">supplements and flaxseed oil </w:t>
      </w:r>
      <w:r w:rsidR="0042151B" w:rsidRPr="0016477B">
        <w:rPr>
          <w:rFonts w:ascii="Times New Roman" w:hAnsi="Times New Roman" w:cs="Times New Roman"/>
          <w:sz w:val="24"/>
          <w:szCs w:val="24"/>
        </w:rPr>
        <w:t>help in improving</w:t>
      </w:r>
      <w:r w:rsidR="00167571" w:rsidRPr="0016477B">
        <w:rPr>
          <w:rFonts w:ascii="Times New Roman" w:hAnsi="Times New Roman" w:cs="Times New Roman"/>
          <w:sz w:val="24"/>
          <w:szCs w:val="24"/>
        </w:rPr>
        <w:t xml:space="preserve"> or ame</w:t>
      </w:r>
      <w:r w:rsidR="008F06D2" w:rsidRPr="0016477B">
        <w:rPr>
          <w:rFonts w:ascii="Times New Roman" w:hAnsi="Times New Roman" w:cs="Times New Roman"/>
          <w:sz w:val="24"/>
          <w:szCs w:val="24"/>
        </w:rPr>
        <w:t>liorating</w:t>
      </w:r>
      <w:r w:rsidR="0042151B" w:rsidRPr="0016477B">
        <w:rPr>
          <w:rFonts w:ascii="Times New Roman" w:hAnsi="Times New Roman" w:cs="Times New Roman"/>
          <w:sz w:val="24"/>
          <w:szCs w:val="24"/>
        </w:rPr>
        <w:t xml:space="preserve"> </w:t>
      </w:r>
      <w:r w:rsidR="00167571" w:rsidRPr="0016477B">
        <w:rPr>
          <w:rFonts w:ascii="Times New Roman" w:hAnsi="Times New Roman" w:cs="Times New Roman"/>
          <w:sz w:val="24"/>
          <w:szCs w:val="24"/>
        </w:rPr>
        <w:t>dry eye signs and symptoms</w:t>
      </w:r>
      <w:r w:rsidR="008F06D2" w:rsidRPr="0016477B">
        <w:rPr>
          <w:rFonts w:ascii="Times New Roman" w:hAnsi="Times New Roman" w:cs="Times New Roman"/>
          <w:sz w:val="24"/>
          <w:szCs w:val="24"/>
        </w:rPr>
        <w:t xml:space="preserve"> (</w:t>
      </w:r>
      <w:bookmarkStart w:id="4" w:name="_Hlk120112275"/>
      <w:r w:rsidR="00896F94" w:rsidRPr="0016477B">
        <w:rPr>
          <w:rFonts w:ascii="Times New Roman" w:hAnsi="Times New Roman" w:cs="Times New Roman"/>
          <w:sz w:val="24"/>
          <w:szCs w:val="24"/>
        </w:rPr>
        <w:t xml:space="preserve">Pellegrini et al., </w:t>
      </w:r>
      <w:r w:rsidR="00271D7D" w:rsidRPr="0016477B">
        <w:rPr>
          <w:rFonts w:ascii="Times New Roman" w:hAnsi="Times New Roman" w:cs="Times New Roman"/>
          <w:sz w:val="24"/>
          <w:szCs w:val="24"/>
        </w:rPr>
        <w:t>2020</w:t>
      </w:r>
      <w:bookmarkEnd w:id="4"/>
      <w:r w:rsidR="008F06D2" w:rsidRPr="0016477B">
        <w:rPr>
          <w:rFonts w:ascii="Times New Roman" w:hAnsi="Times New Roman" w:cs="Times New Roman"/>
          <w:sz w:val="24"/>
          <w:szCs w:val="24"/>
        </w:rPr>
        <w:t>). The patient should also</w:t>
      </w:r>
      <w:r w:rsidR="00896F94" w:rsidRPr="0016477B">
        <w:rPr>
          <w:rFonts w:ascii="Times New Roman" w:hAnsi="Times New Roman" w:cs="Times New Roman"/>
          <w:sz w:val="24"/>
          <w:szCs w:val="24"/>
        </w:rPr>
        <w:t xml:space="preserve"> be</w:t>
      </w:r>
      <w:r w:rsidR="008F06D2" w:rsidRPr="0016477B">
        <w:rPr>
          <w:rFonts w:ascii="Times New Roman" w:hAnsi="Times New Roman" w:cs="Times New Roman"/>
          <w:sz w:val="24"/>
          <w:szCs w:val="24"/>
        </w:rPr>
        <w:t xml:space="preserve"> </w:t>
      </w:r>
      <w:r w:rsidR="00896F94" w:rsidRPr="0016477B">
        <w:rPr>
          <w:rFonts w:ascii="Times New Roman" w:hAnsi="Times New Roman" w:cs="Times New Roman"/>
          <w:sz w:val="24"/>
          <w:szCs w:val="24"/>
        </w:rPr>
        <w:t>advised</w:t>
      </w:r>
      <w:r w:rsidR="008F06D2" w:rsidRPr="0016477B">
        <w:rPr>
          <w:rFonts w:ascii="Times New Roman" w:hAnsi="Times New Roman" w:cs="Times New Roman"/>
          <w:sz w:val="24"/>
          <w:szCs w:val="24"/>
        </w:rPr>
        <w:t xml:space="preserve"> to consume meals rich in vitamin B such as variety of fruits a</w:t>
      </w:r>
      <w:r w:rsidR="00F66974" w:rsidRPr="0016477B">
        <w:rPr>
          <w:rFonts w:ascii="Times New Roman" w:hAnsi="Times New Roman" w:cs="Times New Roman"/>
          <w:sz w:val="24"/>
          <w:szCs w:val="24"/>
        </w:rPr>
        <w:t xml:space="preserve">nd vegetables since it comprises of carotenoids and retinol from animals needed </w:t>
      </w:r>
      <w:r w:rsidR="00E216A4" w:rsidRPr="0016477B">
        <w:rPr>
          <w:rFonts w:ascii="Times New Roman" w:hAnsi="Times New Roman" w:cs="Times New Roman"/>
          <w:sz w:val="24"/>
          <w:szCs w:val="24"/>
        </w:rPr>
        <w:t>in retinal</w:t>
      </w:r>
      <w:r w:rsidR="007B3E30" w:rsidRPr="0016477B">
        <w:rPr>
          <w:rFonts w:ascii="Times New Roman" w:hAnsi="Times New Roman" w:cs="Times New Roman"/>
          <w:sz w:val="24"/>
          <w:szCs w:val="24"/>
        </w:rPr>
        <w:t xml:space="preserve"> phototransduction, metabolism, growth and differentiation ocular surface </w:t>
      </w:r>
      <w:r w:rsidR="007D3C6F" w:rsidRPr="0016477B">
        <w:rPr>
          <w:rFonts w:ascii="Times New Roman" w:hAnsi="Times New Roman" w:cs="Times New Roman"/>
          <w:sz w:val="24"/>
          <w:szCs w:val="24"/>
        </w:rPr>
        <w:t>epithelium. Vegetables such a citrus, tomatoes, broccoli and strawberries are rich in vitamin C</w:t>
      </w:r>
      <w:r w:rsidR="001670C2" w:rsidRPr="0016477B">
        <w:rPr>
          <w:rFonts w:ascii="Times New Roman" w:hAnsi="Times New Roman" w:cs="Times New Roman"/>
          <w:sz w:val="24"/>
          <w:szCs w:val="24"/>
        </w:rPr>
        <w:t xml:space="preserve"> needed in oxidant defense for ocular surface. </w:t>
      </w:r>
    </w:p>
    <w:p w14:paraId="000332CC" w14:textId="0C507625" w:rsidR="00EF0C64" w:rsidRPr="0016477B" w:rsidRDefault="003C1D39" w:rsidP="003C1D3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77B">
        <w:rPr>
          <w:rFonts w:ascii="Times New Roman" w:hAnsi="Times New Roman" w:cs="Times New Roman"/>
          <w:b/>
          <w:bCs/>
          <w:sz w:val="24"/>
          <w:szCs w:val="24"/>
        </w:rPr>
        <w:t>Drug-Drug or Drug-Food Interactions</w:t>
      </w:r>
    </w:p>
    <w:p w14:paraId="54BD2534" w14:textId="5EBADF6D" w:rsidR="00A00F13" w:rsidRPr="0016477B" w:rsidRDefault="00693601" w:rsidP="00505D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477B">
        <w:rPr>
          <w:rFonts w:ascii="Times New Roman" w:hAnsi="Times New Roman" w:cs="Times New Roman"/>
          <w:sz w:val="24"/>
          <w:szCs w:val="24"/>
        </w:rPr>
        <w:t xml:space="preserve">Concomitant administration of amoxicillin and </w:t>
      </w:r>
      <w:r w:rsidR="00513C8D" w:rsidRPr="0016477B">
        <w:rPr>
          <w:rFonts w:ascii="Times New Roman" w:hAnsi="Times New Roman" w:cs="Times New Roman"/>
          <w:sz w:val="24"/>
          <w:szCs w:val="24"/>
        </w:rPr>
        <w:t>c</w:t>
      </w:r>
      <w:r w:rsidRPr="0016477B">
        <w:rPr>
          <w:rFonts w:ascii="Times New Roman" w:hAnsi="Times New Roman" w:cs="Times New Roman"/>
          <w:sz w:val="24"/>
          <w:szCs w:val="24"/>
        </w:rPr>
        <w:t xml:space="preserve">hloramphenicol should be </w:t>
      </w:r>
      <w:r w:rsidR="00513C8D" w:rsidRPr="0016477B">
        <w:rPr>
          <w:rFonts w:ascii="Times New Roman" w:hAnsi="Times New Roman" w:cs="Times New Roman"/>
          <w:sz w:val="24"/>
          <w:szCs w:val="24"/>
        </w:rPr>
        <w:t>evaded</w:t>
      </w:r>
      <w:r w:rsidRPr="0016477B">
        <w:rPr>
          <w:rFonts w:ascii="Times New Roman" w:hAnsi="Times New Roman" w:cs="Times New Roman"/>
          <w:sz w:val="24"/>
          <w:szCs w:val="24"/>
        </w:rPr>
        <w:t xml:space="preserve"> in vitro </w:t>
      </w:r>
      <w:r w:rsidR="00513C8D" w:rsidRPr="0016477B">
        <w:rPr>
          <w:rFonts w:ascii="Times New Roman" w:hAnsi="Times New Roman" w:cs="Times New Roman"/>
          <w:sz w:val="24"/>
          <w:szCs w:val="24"/>
        </w:rPr>
        <w:t>antagonism</w:t>
      </w:r>
      <w:r w:rsidRPr="0016477B">
        <w:rPr>
          <w:rFonts w:ascii="Times New Roman" w:hAnsi="Times New Roman" w:cs="Times New Roman"/>
          <w:sz w:val="24"/>
          <w:szCs w:val="24"/>
        </w:rPr>
        <w:t xml:space="preserve"> </w:t>
      </w:r>
      <w:r w:rsidR="00513C8D" w:rsidRPr="0016477B">
        <w:rPr>
          <w:rFonts w:ascii="Times New Roman" w:hAnsi="Times New Roman" w:cs="Times New Roman"/>
          <w:sz w:val="24"/>
          <w:szCs w:val="24"/>
        </w:rPr>
        <w:t xml:space="preserve">since they have different mechanism of action leading to reduction of plasma level of estrogens </w:t>
      </w:r>
      <w:r w:rsidR="00505DC9" w:rsidRPr="0016477B">
        <w:rPr>
          <w:rFonts w:ascii="Times New Roman" w:hAnsi="Times New Roman" w:cs="Times New Roman"/>
          <w:sz w:val="24"/>
          <w:szCs w:val="24"/>
        </w:rPr>
        <w:t>and progesterone reducing the efficacy of oral contraceptives (</w:t>
      </w:r>
      <w:r w:rsidR="0016477B" w:rsidRPr="0016477B">
        <w:rPr>
          <w:rFonts w:ascii="Times New Roman" w:hAnsi="Times New Roman" w:cs="Times New Roman"/>
          <w:sz w:val="24"/>
          <w:szCs w:val="24"/>
        </w:rPr>
        <w:t>Uddin et al., 2018</w:t>
      </w:r>
      <w:r w:rsidR="00505DC9" w:rsidRPr="0016477B">
        <w:rPr>
          <w:rFonts w:ascii="Times New Roman" w:hAnsi="Times New Roman" w:cs="Times New Roman"/>
          <w:sz w:val="24"/>
          <w:szCs w:val="24"/>
        </w:rPr>
        <w:t>).</w:t>
      </w:r>
      <w:r w:rsidR="0040680B" w:rsidRPr="0016477B">
        <w:rPr>
          <w:rFonts w:ascii="Times New Roman" w:hAnsi="Times New Roman" w:cs="Times New Roman"/>
          <w:sz w:val="24"/>
          <w:szCs w:val="24"/>
        </w:rPr>
        <w:t xml:space="preserve"> In addition, a drug interaction </w:t>
      </w:r>
      <w:r w:rsidR="00A36502" w:rsidRPr="0016477B">
        <w:rPr>
          <w:rFonts w:ascii="Times New Roman" w:hAnsi="Times New Roman" w:cs="Times New Roman"/>
          <w:sz w:val="24"/>
          <w:szCs w:val="24"/>
        </w:rPr>
        <w:t>between</w:t>
      </w:r>
      <w:r w:rsidR="0040680B" w:rsidRPr="0016477B">
        <w:rPr>
          <w:rFonts w:ascii="Times New Roman" w:hAnsi="Times New Roman" w:cs="Times New Roman"/>
          <w:sz w:val="24"/>
          <w:szCs w:val="24"/>
        </w:rPr>
        <w:t xml:space="preserve"> these drugs </w:t>
      </w:r>
      <w:r w:rsidR="00A36502" w:rsidRPr="0016477B">
        <w:rPr>
          <w:rFonts w:ascii="Times New Roman" w:hAnsi="Times New Roman" w:cs="Times New Roman"/>
          <w:sz w:val="24"/>
          <w:szCs w:val="24"/>
        </w:rPr>
        <w:t>causes an</w:t>
      </w:r>
      <w:r w:rsidR="0040680B" w:rsidRPr="0016477B">
        <w:rPr>
          <w:rFonts w:ascii="Times New Roman" w:hAnsi="Times New Roman" w:cs="Times New Roman"/>
          <w:sz w:val="24"/>
          <w:szCs w:val="24"/>
        </w:rPr>
        <w:t xml:space="preserve"> </w:t>
      </w:r>
      <w:r w:rsidR="00A36502" w:rsidRPr="0016477B">
        <w:rPr>
          <w:rFonts w:ascii="Times New Roman" w:hAnsi="Times New Roman" w:cs="Times New Roman"/>
          <w:sz w:val="24"/>
          <w:szCs w:val="24"/>
        </w:rPr>
        <w:t>antagonistic</w:t>
      </w:r>
      <w:r w:rsidR="0040680B" w:rsidRPr="0016477B">
        <w:rPr>
          <w:rFonts w:ascii="Times New Roman" w:hAnsi="Times New Roman" w:cs="Times New Roman"/>
          <w:sz w:val="24"/>
          <w:szCs w:val="24"/>
        </w:rPr>
        <w:t xml:space="preserve"> effect </w:t>
      </w:r>
      <w:r w:rsidR="00A36502" w:rsidRPr="0016477B">
        <w:rPr>
          <w:rFonts w:ascii="Times New Roman" w:hAnsi="Times New Roman" w:cs="Times New Roman"/>
          <w:sz w:val="24"/>
          <w:szCs w:val="24"/>
        </w:rPr>
        <w:t xml:space="preserve">since chloramphenicol by inhibiting bacterial protein synthesis hence changing the active growth of bacterial colonies to be static causing </w:t>
      </w:r>
      <w:r w:rsidR="00EB33BB" w:rsidRPr="0016477B">
        <w:rPr>
          <w:rFonts w:ascii="Times New Roman" w:hAnsi="Times New Roman" w:cs="Times New Roman"/>
          <w:sz w:val="24"/>
          <w:szCs w:val="24"/>
        </w:rPr>
        <w:t>obstruction of amoxicillin bacterial killing effect and slow bacterial killin</w:t>
      </w:r>
      <w:r w:rsidR="00B66593" w:rsidRPr="0016477B">
        <w:rPr>
          <w:rFonts w:ascii="Times New Roman" w:hAnsi="Times New Roman" w:cs="Times New Roman"/>
          <w:sz w:val="24"/>
          <w:szCs w:val="24"/>
        </w:rPr>
        <w:t xml:space="preserve">g. </w:t>
      </w:r>
    </w:p>
    <w:p w14:paraId="77490F9F" w14:textId="77777777" w:rsidR="005B0517" w:rsidRPr="0016477B" w:rsidRDefault="002743B6" w:rsidP="005B05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6477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E9331C" w14:textId="77777777" w:rsidR="00A00F13" w:rsidRPr="0016477B" w:rsidRDefault="002743B6" w:rsidP="005B05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77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29B79C93" w14:textId="77777777" w:rsidR="0016477B" w:rsidRPr="008961A7" w:rsidRDefault="0016477B" w:rsidP="008961A7">
      <w:pPr>
        <w:pStyle w:val="NormalWeb"/>
        <w:spacing w:before="0" w:beforeAutospacing="0" w:after="240" w:afterAutospacing="0" w:line="480" w:lineRule="auto"/>
        <w:ind w:left="720" w:hanging="720"/>
        <w:rPr>
          <w:shd w:val="clear" w:color="auto" w:fill="FFFFFF"/>
        </w:rPr>
      </w:pPr>
      <w:r w:rsidRPr="008961A7">
        <w:rPr>
          <w:shd w:val="clear" w:color="auto" w:fill="FFFFFF"/>
        </w:rPr>
        <w:t>Azari, A. A., &amp; Arabi, A. (2020). Conjunctivitis: a systematic review. </w:t>
      </w:r>
      <w:r w:rsidRPr="008961A7">
        <w:rPr>
          <w:i/>
          <w:iCs/>
          <w:shd w:val="clear" w:color="auto" w:fill="FFFFFF"/>
        </w:rPr>
        <w:t>Journal of ophthalmic &amp; vision research</w:t>
      </w:r>
      <w:r w:rsidRPr="008961A7">
        <w:rPr>
          <w:shd w:val="clear" w:color="auto" w:fill="FFFFFF"/>
        </w:rPr>
        <w:t>, </w:t>
      </w:r>
      <w:r w:rsidRPr="008961A7">
        <w:rPr>
          <w:i/>
          <w:iCs/>
          <w:shd w:val="clear" w:color="auto" w:fill="FFFFFF"/>
        </w:rPr>
        <w:t>15</w:t>
      </w:r>
      <w:r w:rsidRPr="008961A7">
        <w:rPr>
          <w:shd w:val="clear" w:color="auto" w:fill="FFFFFF"/>
        </w:rPr>
        <w:t xml:space="preserve">(3), 372. </w:t>
      </w:r>
      <w:bookmarkStart w:id="5" w:name="_Hlk120112711"/>
      <w:r w:rsidR="00994F2E" w:rsidRPr="008961A7">
        <w:fldChar w:fldCharType="begin"/>
      </w:r>
      <w:r w:rsidR="00994F2E" w:rsidRPr="008961A7">
        <w:instrText xml:space="preserve"> HYPERLINK "https://doi.org/10.18502%2Fjovr.v15i3.7456" </w:instrText>
      </w:r>
      <w:r w:rsidR="00994F2E" w:rsidRPr="008961A7">
        <w:fldChar w:fldCharType="separate"/>
      </w:r>
      <w:r w:rsidRPr="008961A7">
        <w:rPr>
          <w:rStyle w:val="Hyperlink"/>
          <w:color w:val="auto"/>
          <w:u w:val="none"/>
        </w:rPr>
        <w:t>https://doi.org/10.18502%2Fjovr.v15i3.7456</w:t>
      </w:r>
      <w:r w:rsidR="00994F2E" w:rsidRPr="008961A7">
        <w:rPr>
          <w:rStyle w:val="Hyperlink"/>
          <w:color w:val="auto"/>
          <w:u w:val="none"/>
        </w:rPr>
        <w:fldChar w:fldCharType="end"/>
      </w:r>
      <w:bookmarkEnd w:id="5"/>
    </w:p>
    <w:p w14:paraId="03FE7292" w14:textId="77777777" w:rsidR="0016477B" w:rsidRPr="008961A7" w:rsidRDefault="0016477B" w:rsidP="008961A7">
      <w:pPr>
        <w:pStyle w:val="NormalWeb"/>
        <w:spacing w:before="0" w:beforeAutospacing="0" w:after="240" w:afterAutospacing="0" w:line="480" w:lineRule="auto"/>
        <w:ind w:left="720" w:hanging="720"/>
        <w:rPr>
          <w:shd w:val="clear" w:color="auto" w:fill="FFFFFF"/>
        </w:rPr>
      </w:pPr>
      <w:proofErr w:type="spellStart"/>
      <w:r w:rsidRPr="008961A7">
        <w:rPr>
          <w:shd w:val="clear" w:color="auto" w:fill="FFFFFF"/>
        </w:rPr>
        <w:t>Kagkelaris</w:t>
      </w:r>
      <w:proofErr w:type="spellEnd"/>
      <w:r w:rsidRPr="008961A7">
        <w:rPr>
          <w:shd w:val="clear" w:color="auto" w:fill="FFFFFF"/>
        </w:rPr>
        <w:t xml:space="preserve">, K. A., </w:t>
      </w:r>
      <w:proofErr w:type="spellStart"/>
      <w:r w:rsidRPr="008961A7">
        <w:rPr>
          <w:shd w:val="clear" w:color="auto" w:fill="FFFFFF"/>
        </w:rPr>
        <w:t>Makri</w:t>
      </w:r>
      <w:proofErr w:type="spellEnd"/>
      <w:r w:rsidRPr="008961A7">
        <w:rPr>
          <w:shd w:val="clear" w:color="auto" w:fill="FFFFFF"/>
        </w:rPr>
        <w:t xml:space="preserve">, O. E., </w:t>
      </w:r>
      <w:proofErr w:type="spellStart"/>
      <w:r w:rsidRPr="008961A7">
        <w:rPr>
          <w:shd w:val="clear" w:color="auto" w:fill="FFFFFF"/>
        </w:rPr>
        <w:t>Georgakopoulos</w:t>
      </w:r>
      <w:proofErr w:type="spellEnd"/>
      <w:r w:rsidRPr="008961A7">
        <w:rPr>
          <w:shd w:val="clear" w:color="auto" w:fill="FFFFFF"/>
        </w:rPr>
        <w:t>,</w:t>
      </w:r>
      <w:bookmarkStart w:id="6" w:name="_GoBack"/>
      <w:bookmarkEnd w:id="6"/>
      <w:r w:rsidRPr="008961A7">
        <w:rPr>
          <w:shd w:val="clear" w:color="auto" w:fill="FFFFFF"/>
        </w:rPr>
        <w:t xml:space="preserve"> C. D., &amp; </w:t>
      </w:r>
      <w:proofErr w:type="spellStart"/>
      <w:r w:rsidRPr="008961A7">
        <w:rPr>
          <w:shd w:val="clear" w:color="auto" w:fill="FFFFFF"/>
        </w:rPr>
        <w:t>Panayiotakopoulos</w:t>
      </w:r>
      <w:proofErr w:type="spellEnd"/>
      <w:r w:rsidRPr="008961A7">
        <w:rPr>
          <w:shd w:val="clear" w:color="auto" w:fill="FFFFFF"/>
        </w:rPr>
        <w:t>, G. D. (2018). An eye for azithromycin: review of the literature. </w:t>
      </w:r>
      <w:r w:rsidRPr="008961A7">
        <w:rPr>
          <w:i/>
          <w:iCs/>
          <w:shd w:val="clear" w:color="auto" w:fill="FFFFFF"/>
        </w:rPr>
        <w:t>Therapeutic advances in Ophthalmology</w:t>
      </w:r>
      <w:r w:rsidRPr="008961A7">
        <w:rPr>
          <w:shd w:val="clear" w:color="auto" w:fill="FFFFFF"/>
        </w:rPr>
        <w:t>, </w:t>
      </w:r>
      <w:r w:rsidRPr="008961A7">
        <w:rPr>
          <w:i/>
          <w:iCs/>
          <w:shd w:val="clear" w:color="auto" w:fill="FFFFFF"/>
        </w:rPr>
        <w:t>10</w:t>
      </w:r>
      <w:r w:rsidRPr="008961A7">
        <w:rPr>
          <w:shd w:val="clear" w:color="auto" w:fill="FFFFFF"/>
        </w:rPr>
        <w:t xml:space="preserve">, 2515841418783622. </w:t>
      </w:r>
      <w:hyperlink r:id="rId7" w:history="1">
        <w:r w:rsidRPr="008961A7">
          <w:rPr>
            <w:rStyle w:val="Hyperlink"/>
            <w:color w:val="auto"/>
            <w:u w:val="none"/>
          </w:rPr>
          <w:t>https://doi.org/10.1177%2F2515841418783622</w:t>
        </w:r>
      </w:hyperlink>
    </w:p>
    <w:p w14:paraId="537E033C" w14:textId="77777777" w:rsidR="0016477B" w:rsidRPr="008961A7" w:rsidRDefault="0016477B" w:rsidP="008961A7">
      <w:pPr>
        <w:spacing w:after="24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7" w:name="_Hlk120108958"/>
      <w:proofErr w:type="spellStart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Oong</w:t>
      </w:r>
      <w:proofErr w:type="spellEnd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G.C, &amp; </w:t>
      </w:r>
      <w:proofErr w:type="spellStart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Tadi</w:t>
      </w:r>
      <w:proofErr w:type="spellEnd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P. (2022</w:t>
      </w:r>
      <w:bookmarkEnd w:id="7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Chloramphenicol. In: </w:t>
      </w:r>
      <w:proofErr w:type="spellStart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[Internet]. Treasure Island (FL): </w:t>
      </w:r>
      <w:proofErr w:type="spellStart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Publishing;</w:t>
      </w:r>
      <w:r w:rsidRPr="008961A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article-19435.s1" w:history="1">
        <w:r w:rsidRPr="008961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https://www.ncbi.nlm.nih.gov/books/NBK555966/#article-19435.s1</w:t>
        </w:r>
      </w:hyperlink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44EF77B" w14:textId="77777777" w:rsidR="0016477B" w:rsidRPr="008961A7" w:rsidRDefault="0016477B" w:rsidP="008961A7">
      <w:pPr>
        <w:spacing w:after="24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Pellegrini, M., </w:t>
      </w:r>
      <w:proofErr w:type="spellStart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Senni</w:t>
      </w:r>
      <w:proofErr w:type="spellEnd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Bernabei</w:t>
      </w:r>
      <w:proofErr w:type="spellEnd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Cicero, A. F., </w:t>
      </w:r>
      <w:proofErr w:type="spellStart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Vagge</w:t>
      </w:r>
      <w:proofErr w:type="spellEnd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Maestri</w:t>
      </w:r>
      <w:proofErr w:type="spellEnd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... &amp; </w:t>
      </w:r>
      <w:proofErr w:type="spellStart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Giannaccare</w:t>
      </w:r>
      <w:proofErr w:type="spellEnd"/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, G. (2020). The role of nutrition and nutritional supplements in ocular surface diseases. </w:t>
      </w:r>
      <w:r w:rsidRPr="008961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Nutrients</w:t>
      </w:r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961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(4), 952. </w:t>
      </w:r>
      <w:hyperlink r:id="rId9" w:history="1">
        <w:r w:rsidRPr="008961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https://doi.org/10.3390%2Fnu12040952</w:t>
        </w:r>
      </w:hyperlink>
    </w:p>
    <w:p w14:paraId="0478E5A1" w14:textId="77777777" w:rsidR="0016477B" w:rsidRPr="008961A7" w:rsidRDefault="0016477B" w:rsidP="008961A7">
      <w:pPr>
        <w:pStyle w:val="NormalWeb"/>
        <w:spacing w:before="0" w:beforeAutospacing="0" w:after="240" w:afterAutospacing="0" w:line="480" w:lineRule="auto"/>
        <w:ind w:left="720" w:hanging="720"/>
      </w:pPr>
      <w:bookmarkStart w:id="8" w:name="_Hlk120112700"/>
      <w:r w:rsidRPr="008961A7">
        <w:rPr>
          <w:shd w:val="clear" w:color="auto" w:fill="FFFFFF"/>
        </w:rPr>
        <w:t>Ryder, EC, &amp; Benson, S. (2022). Conjunctivitis. In </w:t>
      </w:r>
      <w:proofErr w:type="spellStart"/>
      <w:r w:rsidRPr="008961A7">
        <w:rPr>
          <w:i/>
          <w:iCs/>
          <w:shd w:val="clear" w:color="auto" w:fill="FFFFFF"/>
        </w:rPr>
        <w:t>StatPearls</w:t>
      </w:r>
      <w:proofErr w:type="spellEnd"/>
      <w:r w:rsidRPr="008961A7">
        <w:rPr>
          <w:i/>
          <w:iCs/>
          <w:shd w:val="clear" w:color="auto" w:fill="FFFFFF"/>
        </w:rPr>
        <w:t xml:space="preserve"> [Internet]</w:t>
      </w:r>
      <w:r w:rsidRPr="008961A7">
        <w:rPr>
          <w:shd w:val="clear" w:color="auto" w:fill="FFFFFF"/>
        </w:rPr>
        <w:t>. </w:t>
      </w:r>
      <w:proofErr w:type="spellStart"/>
      <w:r w:rsidRPr="008961A7">
        <w:rPr>
          <w:shd w:val="clear" w:color="auto" w:fill="FFFFFF"/>
        </w:rPr>
        <w:t>StatPearls</w:t>
      </w:r>
      <w:proofErr w:type="spellEnd"/>
      <w:r w:rsidRPr="008961A7">
        <w:rPr>
          <w:shd w:val="clear" w:color="auto" w:fill="FFFFFF"/>
        </w:rPr>
        <w:t xml:space="preserve"> Publishing.</w:t>
      </w:r>
      <w:r w:rsidRPr="008961A7">
        <w:t xml:space="preserve"> </w:t>
      </w:r>
      <w:hyperlink r:id="rId10" w:history="1">
        <w:r w:rsidRPr="008961A7">
          <w:rPr>
            <w:rStyle w:val="Hyperlink"/>
            <w:color w:val="auto"/>
            <w:u w:val="none"/>
            <w:shd w:val="clear" w:color="auto" w:fill="FFFFFF"/>
          </w:rPr>
          <w:t>https://www.ncbi.nlm.nih.gov/books/NBK541034/</w:t>
        </w:r>
      </w:hyperlink>
      <w:r w:rsidRPr="008961A7">
        <w:rPr>
          <w:shd w:val="clear" w:color="auto" w:fill="FFFFFF"/>
        </w:rPr>
        <w:t xml:space="preserve"> </w:t>
      </w:r>
    </w:p>
    <w:p w14:paraId="2D0E10F4" w14:textId="77777777" w:rsidR="0016477B" w:rsidRPr="008961A7" w:rsidRDefault="0016477B" w:rsidP="008961A7">
      <w:pPr>
        <w:pStyle w:val="NormalWeb"/>
        <w:spacing w:before="0" w:beforeAutospacing="0" w:after="240" w:afterAutospacing="0" w:line="480" w:lineRule="auto"/>
        <w:ind w:left="720" w:hanging="720"/>
        <w:rPr>
          <w:shd w:val="clear" w:color="auto" w:fill="FFFFFF"/>
        </w:rPr>
      </w:pPr>
      <w:bookmarkStart w:id="9" w:name="_Hlk120096264"/>
      <w:bookmarkEnd w:id="8"/>
      <w:proofErr w:type="spellStart"/>
      <w:r w:rsidRPr="008961A7">
        <w:rPr>
          <w:shd w:val="clear" w:color="auto" w:fill="FFFFFF"/>
        </w:rPr>
        <w:t>Totuk</w:t>
      </w:r>
      <w:proofErr w:type="spellEnd"/>
      <w:r w:rsidRPr="008961A7">
        <w:rPr>
          <w:shd w:val="clear" w:color="auto" w:fill="FFFFFF"/>
        </w:rPr>
        <w:t xml:space="preserve">, O. M. G., &amp; </w:t>
      </w:r>
      <w:proofErr w:type="spellStart"/>
      <w:r w:rsidRPr="008961A7">
        <w:rPr>
          <w:shd w:val="clear" w:color="auto" w:fill="FFFFFF"/>
        </w:rPr>
        <w:t>Yukselen</w:t>
      </w:r>
      <w:proofErr w:type="spellEnd"/>
      <w:r w:rsidRPr="008961A7">
        <w:rPr>
          <w:shd w:val="clear" w:color="auto" w:fill="FFFFFF"/>
        </w:rPr>
        <w:t>, A. (2019</w:t>
      </w:r>
      <w:bookmarkEnd w:id="9"/>
      <w:r w:rsidRPr="008961A7">
        <w:rPr>
          <w:shd w:val="clear" w:color="auto" w:fill="FFFFFF"/>
        </w:rPr>
        <w:t>). Acute allergic reaction caused by topical azithromycin eye drops: A report of two cases. </w:t>
      </w:r>
      <w:r w:rsidRPr="008961A7">
        <w:rPr>
          <w:i/>
          <w:iCs/>
          <w:shd w:val="clear" w:color="auto" w:fill="FFFFFF"/>
        </w:rPr>
        <w:t>Saudi Journal of Ophthalmology</w:t>
      </w:r>
      <w:r w:rsidRPr="008961A7">
        <w:rPr>
          <w:shd w:val="clear" w:color="auto" w:fill="FFFFFF"/>
        </w:rPr>
        <w:t>, </w:t>
      </w:r>
      <w:r w:rsidRPr="008961A7">
        <w:rPr>
          <w:i/>
          <w:iCs/>
          <w:shd w:val="clear" w:color="auto" w:fill="FFFFFF"/>
        </w:rPr>
        <w:t>33</w:t>
      </w:r>
      <w:r w:rsidRPr="008961A7">
        <w:rPr>
          <w:shd w:val="clear" w:color="auto" w:fill="FFFFFF"/>
        </w:rPr>
        <w:t xml:space="preserve">(2), 180-182. </w:t>
      </w:r>
      <w:hyperlink r:id="rId11" w:history="1">
        <w:r w:rsidRPr="008961A7">
          <w:rPr>
            <w:rStyle w:val="Hyperlink"/>
            <w:color w:val="auto"/>
            <w:u w:val="none"/>
          </w:rPr>
          <w:t>https://doi.org/10.1016%2Fj.sjopt.2018.10.001</w:t>
        </w:r>
      </w:hyperlink>
    </w:p>
    <w:p w14:paraId="0FAD34B7" w14:textId="77777777" w:rsidR="0016477B" w:rsidRPr="008961A7" w:rsidRDefault="0016477B" w:rsidP="008961A7">
      <w:pPr>
        <w:spacing w:after="24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Uddin, M. N., Das, S., Khan, S. H., Shill, S. K., Bhuiyan, H. R., &amp; Karim, R. (2016). Simultaneous determination of amoxicillin and chloramphenicol and their drug interaction study by the validated UPLC method. </w:t>
      </w:r>
      <w:r w:rsidRPr="008961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Taibah University for Science</w:t>
      </w:r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961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8961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(5), 755-765. </w:t>
      </w:r>
      <w:hyperlink r:id="rId12" w:history="1">
        <w:r w:rsidRPr="008961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https://doi.org/10.1016/j.jtusci.2015.11.005</w:t>
        </w:r>
      </w:hyperlink>
    </w:p>
    <w:p w14:paraId="02CBFC51" w14:textId="77777777" w:rsidR="0016477B" w:rsidRPr="008961A7" w:rsidRDefault="0016477B" w:rsidP="008961A7">
      <w:pPr>
        <w:pStyle w:val="NormalWeb"/>
        <w:spacing w:before="0" w:beforeAutospacing="0" w:after="240" w:afterAutospacing="0" w:line="480" w:lineRule="auto"/>
        <w:ind w:left="720" w:hanging="720"/>
      </w:pPr>
      <w:bookmarkStart w:id="10" w:name="_Hlk120097999"/>
      <w:r w:rsidRPr="008961A7">
        <w:rPr>
          <w:shd w:val="clear" w:color="auto" w:fill="FFFFFF"/>
        </w:rPr>
        <w:lastRenderedPageBreak/>
        <w:t xml:space="preserve">Watson, </w:t>
      </w:r>
      <w:bookmarkEnd w:id="10"/>
      <w:r w:rsidRPr="008961A7">
        <w:rPr>
          <w:shd w:val="clear" w:color="auto" w:fill="FFFFFF"/>
        </w:rPr>
        <w:t>S., Cabrera-</w:t>
      </w:r>
      <w:proofErr w:type="spellStart"/>
      <w:r w:rsidRPr="008961A7">
        <w:rPr>
          <w:shd w:val="clear" w:color="auto" w:fill="FFFFFF"/>
        </w:rPr>
        <w:t>Aguas</w:t>
      </w:r>
      <w:proofErr w:type="spellEnd"/>
      <w:r w:rsidRPr="008961A7">
        <w:rPr>
          <w:shd w:val="clear" w:color="auto" w:fill="FFFFFF"/>
        </w:rPr>
        <w:t>, M., &amp; Khoo, P. (2018). Common eye infections. </w:t>
      </w:r>
      <w:r w:rsidRPr="008961A7">
        <w:rPr>
          <w:i/>
          <w:iCs/>
          <w:shd w:val="clear" w:color="auto" w:fill="FFFFFF"/>
        </w:rPr>
        <w:t>Australian prescriber</w:t>
      </w:r>
      <w:r w:rsidRPr="008961A7">
        <w:rPr>
          <w:shd w:val="clear" w:color="auto" w:fill="FFFFFF"/>
        </w:rPr>
        <w:t>, </w:t>
      </w:r>
      <w:r w:rsidRPr="008961A7">
        <w:rPr>
          <w:i/>
          <w:iCs/>
          <w:shd w:val="clear" w:color="auto" w:fill="FFFFFF"/>
        </w:rPr>
        <w:t>41</w:t>
      </w:r>
      <w:r w:rsidRPr="008961A7">
        <w:rPr>
          <w:shd w:val="clear" w:color="auto" w:fill="FFFFFF"/>
        </w:rPr>
        <w:t xml:space="preserve">(3), 67. </w:t>
      </w:r>
      <w:hyperlink r:id="rId13" w:history="1">
        <w:r w:rsidRPr="008961A7">
          <w:rPr>
            <w:rStyle w:val="Hyperlink"/>
            <w:color w:val="auto"/>
            <w:u w:val="none"/>
          </w:rPr>
          <w:t>https://doi.org/10.18773/austprescr.2018.016</w:t>
        </w:r>
      </w:hyperlink>
    </w:p>
    <w:sectPr w:rsidR="0016477B" w:rsidRPr="008961A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E1CBE" w14:textId="77777777" w:rsidR="00994F2E" w:rsidRDefault="00994F2E">
      <w:pPr>
        <w:spacing w:after="0" w:line="240" w:lineRule="auto"/>
      </w:pPr>
      <w:r>
        <w:separator/>
      </w:r>
    </w:p>
  </w:endnote>
  <w:endnote w:type="continuationSeparator" w:id="0">
    <w:p w14:paraId="732426E5" w14:textId="77777777" w:rsidR="00994F2E" w:rsidRDefault="0099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E44AB" w14:textId="77777777" w:rsidR="00994F2E" w:rsidRDefault="00994F2E">
      <w:pPr>
        <w:spacing w:after="0" w:line="240" w:lineRule="auto"/>
      </w:pPr>
      <w:r>
        <w:separator/>
      </w:r>
    </w:p>
  </w:footnote>
  <w:footnote w:type="continuationSeparator" w:id="0">
    <w:p w14:paraId="6536EB03" w14:textId="77777777" w:rsidR="00994F2E" w:rsidRDefault="0099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75657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B55C6D" w14:textId="77777777" w:rsidR="005B0517" w:rsidRDefault="002743B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A7870F" w14:textId="77777777" w:rsidR="005B0517" w:rsidRDefault="005B0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65195"/>
    <w:multiLevelType w:val="hybridMultilevel"/>
    <w:tmpl w:val="6382ECF0"/>
    <w:lvl w:ilvl="0" w:tplc="EACEA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E8787E" w:tentative="1">
      <w:start w:val="1"/>
      <w:numFmt w:val="lowerLetter"/>
      <w:lvlText w:val="%2."/>
      <w:lvlJc w:val="left"/>
      <w:pPr>
        <w:ind w:left="1440" w:hanging="360"/>
      </w:pPr>
    </w:lvl>
    <w:lvl w:ilvl="2" w:tplc="EE6094B8" w:tentative="1">
      <w:start w:val="1"/>
      <w:numFmt w:val="lowerRoman"/>
      <w:lvlText w:val="%3."/>
      <w:lvlJc w:val="right"/>
      <w:pPr>
        <w:ind w:left="2160" w:hanging="180"/>
      </w:pPr>
    </w:lvl>
    <w:lvl w:ilvl="3" w:tplc="E4868E5C" w:tentative="1">
      <w:start w:val="1"/>
      <w:numFmt w:val="decimal"/>
      <w:lvlText w:val="%4."/>
      <w:lvlJc w:val="left"/>
      <w:pPr>
        <w:ind w:left="2880" w:hanging="360"/>
      </w:pPr>
    </w:lvl>
    <w:lvl w:ilvl="4" w:tplc="CADCF962" w:tentative="1">
      <w:start w:val="1"/>
      <w:numFmt w:val="lowerLetter"/>
      <w:lvlText w:val="%5."/>
      <w:lvlJc w:val="left"/>
      <w:pPr>
        <w:ind w:left="3600" w:hanging="360"/>
      </w:pPr>
    </w:lvl>
    <w:lvl w:ilvl="5" w:tplc="C400E48E" w:tentative="1">
      <w:start w:val="1"/>
      <w:numFmt w:val="lowerRoman"/>
      <w:lvlText w:val="%6."/>
      <w:lvlJc w:val="right"/>
      <w:pPr>
        <w:ind w:left="4320" w:hanging="180"/>
      </w:pPr>
    </w:lvl>
    <w:lvl w:ilvl="6" w:tplc="A96AD4F6" w:tentative="1">
      <w:start w:val="1"/>
      <w:numFmt w:val="decimal"/>
      <w:lvlText w:val="%7."/>
      <w:lvlJc w:val="left"/>
      <w:pPr>
        <w:ind w:left="5040" w:hanging="360"/>
      </w:pPr>
    </w:lvl>
    <w:lvl w:ilvl="7" w:tplc="A3301A86" w:tentative="1">
      <w:start w:val="1"/>
      <w:numFmt w:val="lowerLetter"/>
      <w:lvlText w:val="%8."/>
      <w:lvlJc w:val="left"/>
      <w:pPr>
        <w:ind w:left="5760" w:hanging="360"/>
      </w:pPr>
    </w:lvl>
    <w:lvl w:ilvl="8" w:tplc="CFD80B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64"/>
    <w:rsid w:val="0000534E"/>
    <w:rsid w:val="0004186E"/>
    <w:rsid w:val="0004538D"/>
    <w:rsid w:val="000938B4"/>
    <w:rsid w:val="000B5197"/>
    <w:rsid w:val="000D0A43"/>
    <w:rsid w:val="00107F0D"/>
    <w:rsid w:val="00116C6C"/>
    <w:rsid w:val="001357B7"/>
    <w:rsid w:val="001466C7"/>
    <w:rsid w:val="001579C3"/>
    <w:rsid w:val="0016477B"/>
    <w:rsid w:val="001670C2"/>
    <w:rsid w:val="00167571"/>
    <w:rsid w:val="00173EDE"/>
    <w:rsid w:val="00181D4D"/>
    <w:rsid w:val="00184140"/>
    <w:rsid w:val="001A6D08"/>
    <w:rsid w:val="001E2BD3"/>
    <w:rsid w:val="002000A2"/>
    <w:rsid w:val="00203B49"/>
    <w:rsid w:val="00271D7D"/>
    <w:rsid w:val="002743B6"/>
    <w:rsid w:val="002A5066"/>
    <w:rsid w:val="002A6B41"/>
    <w:rsid w:val="002C0F72"/>
    <w:rsid w:val="002C3407"/>
    <w:rsid w:val="002F0391"/>
    <w:rsid w:val="0030333E"/>
    <w:rsid w:val="0030603E"/>
    <w:rsid w:val="0032225F"/>
    <w:rsid w:val="003626D5"/>
    <w:rsid w:val="0036487E"/>
    <w:rsid w:val="00366C52"/>
    <w:rsid w:val="003B708D"/>
    <w:rsid w:val="003C1D39"/>
    <w:rsid w:val="003C4B75"/>
    <w:rsid w:val="003F064D"/>
    <w:rsid w:val="0040680B"/>
    <w:rsid w:val="00411C6E"/>
    <w:rsid w:val="0042151B"/>
    <w:rsid w:val="0042359A"/>
    <w:rsid w:val="00441269"/>
    <w:rsid w:val="00445E09"/>
    <w:rsid w:val="004569A7"/>
    <w:rsid w:val="00473599"/>
    <w:rsid w:val="00486E55"/>
    <w:rsid w:val="00493387"/>
    <w:rsid w:val="004A2BDA"/>
    <w:rsid w:val="004A638B"/>
    <w:rsid w:val="004B704C"/>
    <w:rsid w:val="004D6CBD"/>
    <w:rsid w:val="004E44AD"/>
    <w:rsid w:val="004F2951"/>
    <w:rsid w:val="005037F3"/>
    <w:rsid w:val="00505DC9"/>
    <w:rsid w:val="00513C8D"/>
    <w:rsid w:val="00540BE1"/>
    <w:rsid w:val="00584517"/>
    <w:rsid w:val="005A7341"/>
    <w:rsid w:val="005B0517"/>
    <w:rsid w:val="005B7312"/>
    <w:rsid w:val="005E146C"/>
    <w:rsid w:val="00611D2D"/>
    <w:rsid w:val="0063210A"/>
    <w:rsid w:val="00645471"/>
    <w:rsid w:val="00651A60"/>
    <w:rsid w:val="006532E2"/>
    <w:rsid w:val="00693601"/>
    <w:rsid w:val="007163FF"/>
    <w:rsid w:val="007653AD"/>
    <w:rsid w:val="007A176E"/>
    <w:rsid w:val="007B3E30"/>
    <w:rsid w:val="007D3C6F"/>
    <w:rsid w:val="007F4F68"/>
    <w:rsid w:val="008034AE"/>
    <w:rsid w:val="00805C52"/>
    <w:rsid w:val="00820157"/>
    <w:rsid w:val="00824CED"/>
    <w:rsid w:val="00862A3F"/>
    <w:rsid w:val="008715BD"/>
    <w:rsid w:val="008961A7"/>
    <w:rsid w:val="00896F94"/>
    <w:rsid w:val="008D1CD2"/>
    <w:rsid w:val="008F06D2"/>
    <w:rsid w:val="00901428"/>
    <w:rsid w:val="00913134"/>
    <w:rsid w:val="00927021"/>
    <w:rsid w:val="00931494"/>
    <w:rsid w:val="00934A06"/>
    <w:rsid w:val="00935B24"/>
    <w:rsid w:val="00936507"/>
    <w:rsid w:val="00963C06"/>
    <w:rsid w:val="00966A73"/>
    <w:rsid w:val="009909CF"/>
    <w:rsid w:val="00994F2E"/>
    <w:rsid w:val="009D1FEF"/>
    <w:rsid w:val="009F185C"/>
    <w:rsid w:val="00A00F13"/>
    <w:rsid w:val="00A074CA"/>
    <w:rsid w:val="00A36502"/>
    <w:rsid w:val="00A65424"/>
    <w:rsid w:val="00A70B7F"/>
    <w:rsid w:val="00A76398"/>
    <w:rsid w:val="00A8541F"/>
    <w:rsid w:val="00AA6FA4"/>
    <w:rsid w:val="00AC37B2"/>
    <w:rsid w:val="00B0119A"/>
    <w:rsid w:val="00B117E0"/>
    <w:rsid w:val="00B54DEF"/>
    <w:rsid w:val="00B66593"/>
    <w:rsid w:val="00B751F9"/>
    <w:rsid w:val="00BA037E"/>
    <w:rsid w:val="00BA37BC"/>
    <w:rsid w:val="00BD721B"/>
    <w:rsid w:val="00BE0293"/>
    <w:rsid w:val="00BE768E"/>
    <w:rsid w:val="00BF3DEC"/>
    <w:rsid w:val="00CA3FDE"/>
    <w:rsid w:val="00CA4078"/>
    <w:rsid w:val="00CC0419"/>
    <w:rsid w:val="00CF6AAB"/>
    <w:rsid w:val="00D1088F"/>
    <w:rsid w:val="00D16007"/>
    <w:rsid w:val="00D54C2E"/>
    <w:rsid w:val="00DA2648"/>
    <w:rsid w:val="00DD3F7B"/>
    <w:rsid w:val="00DE6C5B"/>
    <w:rsid w:val="00E034F0"/>
    <w:rsid w:val="00E10296"/>
    <w:rsid w:val="00E13CCF"/>
    <w:rsid w:val="00E216A4"/>
    <w:rsid w:val="00E87D7D"/>
    <w:rsid w:val="00EB1DDC"/>
    <w:rsid w:val="00EB33BB"/>
    <w:rsid w:val="00EB5DE2"/>
    <w:rsid w:val="00EC15F5"/>
    <w:rsid w:val="00ED513F"/>
    <w:rsid w:val="00EF0C64"/>
    <w:rsid w:val="00EF7A9A"/>
    <w:rsid w:val="00F15FF5"/>
    <w:rsid w:val="00F447A2"/>
    <w:rsid w:val="00F66974"/>
    <w:rsid w:val="00F83265"/>
    <w:rsid w:val="00F837E1"/>
    <w:rsid w:val="00F84A4E"/>
    <w:rsid w:val="00F966BD"/>
    <w:rsid w:val="00FB1A01"/>
    <w:rsid w:val="00FD01BD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70C5"/>
  <w15:docId w15:val="{3C26FFD1-A6ED-44AF-B322-CCB6BBF4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C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05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17"/>
  </w:style>
  <w:style w:type="paragraph" w:styleId="Footer">
    <w:name w:val="footer"/>
    <w:basedOn w:val="Normal"/>
    <w:link w:val="FooterChar"/>
    <w:uiPriority w:val="99"/>
    <w:unhideWhenUsed/>
    <w:rsid w:val="005B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17"/>
  </w:style>
  <w:style w:type="character" w:styleId="Emphasis">
    <w:name w:val="Emphasis"/>
    <w:basedOn w:val="DefaultParagraphFont"/>
    <w:uiPriority w:val="20"/>
    <w:qFormat/>
    <w:rsid w:val="00D54C2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90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55966/" TargetMode="External"/><Relationship Id="rId13" Type="http://schemas.openxmlformats.org/officeDocument/2006/relationships/hyperlink" Target="https://doi.org/10.18773/austprescr.2018.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77%2F2515841418783622" TargetMode="External"/><Relationship Id="rId12" Type="http://schemas.openxmlformats.org/officeDocument/2006/relationships/hyperlink" Target="https://doi.org/10.1016/j.jtusci.2015.11.0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%2Fj.sjopt.2018.10.0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books/NBK5410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%2Fnu1204095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Microsoft</cp:lastModifiedBy>
  <cp:revision>6</cp:revision>
  <dcterms:created xsi:type="dcterms:W3CDTF">2022-11-23T10:42:00Z</dcterms:created>
  <dcterms:modified xsi:type="dcterms:W3CDTF">2022-11-23T13:19:00Z</dcterms:modified>
</cp:coreProperties>
</file>