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1B" w:rsidRPr="00F9301B" w:rsidRDefault="00F9301B">
      <w:pPr>
        <w:rPr>
          <w:rFonts w:ascii="Arial" w:hAnsi="Arial" w:cs="Arial"/>
          <w:b/>
          <w:color w:val="73879C"/>
          <w:sz w:val="20"/>
          <w:szCs w:val="20"/>
          <w:shd w:val="clear" w:color="auto" w:fill="FFFFFF"/>
        </w:rPr>
      </w:pPr>
      <w:r w:rsidRPr="00F9301B">
        <w:rPr>
          <w:rFonts w:ascii="Arial" w:hAnsi="Arial" w:cs="Arial"/>
          <w:b/>
          <w:color w:val="73879C"/>
          <w:sz w:val="20"/>
          <w:szCs w:val="20"/>
          <w:shd w:val="clear" w:color="auto" w:fill="FFFFFF"/>
        </w:rPr>
        <w:t xml:space="preserve">Exam Preparation Notes </w:t>
      </w:r>
      <w:r w:rsidR="00D20EFF">
        <w:rPr>
          <w:rFonts w:ascii="Arial" w:hAnsi="Arial" w:cs="Arial"/>
          <w:b/>
          <w:color w:val="73879C"/>
          <w:sz w:val="20"/>
          <w:szCs w:val="20"/>
          <w:shd w:val="clear" w:color="auto" w:fill="FFFFFF"/>
        </w:rPr>
        <w:t>1</w:t>
      </w:r>
    </w:p>
    <w:p w:rsidR="003A0316" w:rsidRPr="003A0316" w:rsidRDefault="00F9301B" w:rsidP="00833324">
      <w:pPr>
        <w:pStyle w:val="ListParagraph"/>
        <w:numPr>
          <w:ilvl w:val="0"/>
          <w:numId w:val="2"/>
        </w:numPr>
      </w:pPr>
      <w:r w:rsidRPr="00833324">
        <w:rPr>
          <w:rFonts w:ascii="Arial" w:hAnsi="Arial" w:cs="Arial"/>
          <w:color w:val="73879C"/>
          <w:sz w:val="20"/>
          <w:szCs w:val="20"/>
          <w:shd w:val="clear" w:color="auto" w:fill="FFFFFF"/>
        </w:rPr>
        <w:t xml:space="preserve">In preparation for the final exam, I would like to review a few items. The final exam is to be taken during Week 15 and will focus on the </w:t>
      </w:r>
      <w:r w:rsidRPr="00660C0C">
        <w:rPr>
          <w:rFonts w:ascii="Arial" w:hAnsi="Arial" w:cs="Arial"/>
          <w:color w:val="00B050"/>
          <w:sz w:val="20"/>
          <w:szCs w:val="20"/>
          <w:shd w:val="clear" w:color="auto" w:fill="FFFFFF"/>
        </w:rPr>
        <w:t>following preventative guidelines listed below</w:t>
      </w:r>
      <w:r w:rsidRPr="00833324">
        <w:rPr>
          <w:rFonts w:ascii="Arial" w:hAnsi="Arial" w:cs="Arial"/>
          <w:color w:val="73879C"/>
          <w:sz w:val="20"/>
          <w:szCs w:val="20"/>
          <w:shd w:val="clear" w:color="auto" w:fill="FFFFFF"/>
        </w:rPr>
        <w:t xml:space="preserve">. For the exam, you will be asked to </w:t>
      </w:r>
      <w:r w:rsidRPr="00660C0C">
        <w:rPr>
          <w:rFonts w:ascii="Arial" w:hAnsi="Arial" w:cs="Arial"/>
          <w:color w:val="00B050"/>
          <w:sz w:val="20"/>
          <w:szCs w:val="20"/>
          <w:shd w:val="clear" w:color="auto" w:fill="FFFFFF"/>
        </w:rPr>
        <w:t xml:space="preserve">provide five bullet points related to each of the guidelines </w:t>
      </w:r>
      <w:r w:rsidRPr="00833324">
        <w:rPr>
          <w:rFonts w:ascii="Arial" w:hAnsi="Arial" w:cs="Arial"/>
          <w:color w:val="73879C"/>
          <w:sz w:val="20"/>
          <w:szCs w:val="20"/>
          <w:shd w:val="clear" w:color="auto" w:fill="FFFFFF"/>
        </w:rPr>
        <w:t xml:space="preserve">listed. It is recommended that you utilize the </w:t>
      </w:r>
      <w:r w:rsidRPr="00660C0C">
        <w:rPr>
          <w:rFonts w:ascii="Arial" w:hAnsi="Arial" w:cs="Arial"/>
          <w:color w:val="00B050"/>
          <w:sz w:val="20"/>
          <w:szCs w:val="20"/>
          <w:shd w:val="clear" w:color="auto" w:fill="FFFFFF"/>
        </w:rPr>
        <w:t>United States Preventive Services Task Force Guidelines, SAMHSA, JNC, CDC, and other specialty organizations’ guidelines, as applicable</w:t>
      </w:r>
      <w:r w:rsidRPr="00833324">
        <w:rPr>
          <w:rFonts w:ascii="Arial" w:hAnsi="Arial" w:cs="Arial"/>
          <w:color w:val="73879C"/>
          <w:sz w:val="20"/>
          <w:szCs w:val="20"/>
          <w:shd w:val="clear" w:color="auto" w:fill="FFFFFF"/>
        </w:rPr>
        <w:t>, to prepare yourself for the exam.</w:t>
      </w:r>
      <w:r w:rsidRPr="00833324">
        <w:rPr>
          <w:rFonts w:ascii="Arial" w:hAnsi="Arial" w:cs="Arial"/>
          <w:color w:val="73879C"/>
          <w:sz w:val="20"/>
          <w:szCs w:val="20"/>
        </w:rPr>
        <w:br/>
      </w:r>
      <w:r w:rsidRPr="00833324">
        <w:rPr>
          <w:rFonts w:ascii="Arial" w:hAnsi="Arial" w:cs="Arial"/>
          <w:color w:val="73879C"/>
          <w:sz w:val="20"/>
          <w:szCs w:val="20"/>
        </w:rPr>
        <w:br/>
      </w:r>
      <w:r w:rsidRPr="00833324">
        <w:rPr>
          <w:rFonts w:ascii="Arial" w:hAnsi="Arial" w:cs="Arial"/>
          <w:color w:val="73879C"/>
          <w:sz w:val="20"/>
          <w:szCs w:val="20"/>
          <w:shd w:val="clear" w:color="auto" w:fill="FFFFFF"/>
        </w:rPr>
        <w:t>Guidelines to be covered include the following:</w:t>
      </w:r>
      <w:r w:rsidR="00FD20BB">
        <w:rPr>
          <w:rFonts w:ascii="Arial" w:hAnsi="Arial" w:cs="Arial"/>
          <w:color w:val="73879C"/>
          <w:sz w:val="20"/>
          <w:szCs w:val="20"/>
        </w:rPr>
        <w:t xml:space="preserve"> (each roughly 100 words</w:t>
      </w:r>
      <w:proofErr w:type="gramStart"/>
      <w:r w:rsidR="00FD20BB">
        <w:rPr>
          <w:rFonts w:ascii="Arial" w:hAnsi="Arial" w:cs="Arial"/>
          <w:color w:val="73879C"/>
          <w:sz w:val="20"/>
          <w:szCs w:val="20"/>
        </w:rPr>
        <w:t>)</w:t>
      </w:r>
      <w:proofErr w:type="gramEnd"/>
      <w:r w:rsidRPr="00833324">
        <w:rPr>
          <w:rFonts w:ascii="Arial" w:hAnsi="Arial" w:cs="Arial"/>
          <w:color w:val="73879C"/>
          <w:sz w:val="20"/>
          <w:szCs w:val="20"/>
        </w:rPr>
        <w:br/>
      </w:r>
      <w:r w:rsidRPr="00833324">
        <w:rPr>
          <w:rFonts w:ascii="Arial" w:hAnsi="Arial" w:cs="Arial"/>
          <w:color w:val="73879C"/>
          <w:sz w:val="20"/>
          <w:szCs w:val="20"/>
          <w:shd w:val="clear" w:color="auto" w:fill="FFFFFF"/>
        </w:rPr>
        <w:t>1. Lung Cancer</w:t>
      </w:r>
    </w:p>
    <w:p w:rsidR="00596915" w:rsidRDefault="003A0316" w:rsidP="003A0316">
      <w:pPr>
        <w:pStyle w:val="ListParagraph"/>
        <w:rPr>
          <w:rFonts w:ascii="Arial" w:hAnsi="Arial" w:cs="Arial"/>
          <w:color w:val="73879C"/>
          <w:sz w:val="20"/>
          <w:szCs w:val="20"/>
        </w:rPr>
      </w:pPr>
      <w:r w:rsidRPr="00833324">
        <w:rPr>
          <w:rFonts w:ascii="Arial" w:hAnsi="Arial" w:cs="Arial"/>
          <w:color w:val="73879C"/>
          <w:sz w:val="20"/>
          <w:szCs w:val="20"/>
          <w:shd w:val="clear" w:color="auto" w:fill="FFFFFF"/>
        </w:rPr>
        <w:t>2. Prostate Cancer</w:t>
      </w:r>
      <w:r w:rsidRPr="00833324">
        <w:rPr>
          <w:rFonts w:ascii="Arial" w:hAnsi="Arial" w:cs="Arial"/>
          <w:color w:val="73879C"/>
          <w:sz w:val="20"/>
          <w:szCs w:val="20"/>
        </w:rPr>
        <w:br/>
      </w:r>
      <w:r w:rsidRPr="003A0316">
        <w:rPr>
          <w:rFonts w:ascii="Arial" w:hAnsi="Arial" w:cs="Arial"/>
          <w:color w:val="73879C"/>
          <w:sz w:val="20"/>
          <w:szCs w:val="20"/>
        </w:rPr>
        <w:t>3. Adult Immunizations</w:t>
      </w:r>
    </w:p>
    <w:p w:rsidR="00B47E72" w:rsidRDefault="00596915" w:rsidP="003A0316">
      <w:pPr>
        <w:pStyle w:val="ListParagraph"/>
        <w:rPr>
          <w:rFonts w:ascii="Arial" w:hAnsi="Arial" w:cs="Arial"/>
          <w:color w:val="73879C"/>
          <w:sz w:val="20"/>
          <w:szCs w:val="20"/>
          <w:shd w:val="clear" w:color="auto" w:fill="FFFFFF"/>
        </w:rPr>
      </w:pPr>
      <w:r>
        <w:rPr>
          <w:rFonts w:ascii="Arial" w:hAnsi="Arial" w:cs="Arial"/>
          <w:color w:val="73879C"/>
          <w:sz w:val="20"/>
          <w:szCs w:val="20"/>
          <w:shd w:val="clear" w:color="auto" w:fill="FFFFFF"/>
        </w:rPr>
        <w:t>13.</w:t>
      </w:r>
      <w:r w:rsidRPr="00833324">
        <w:rPr>
          <w:rFonts w:ascii="Arial" w:hAnsi="Arial" w:cs="Arial"/>
          <w:color w:val="73879C"/>
          <w:sz w:val="20"/>
          <w:szCs w:val="20"/>
          <w:shd w:val="clear" w:color="auto" w:fill="FFFFFF"/>
        </w:rPr>
        <w:t xml:space="preserve"> Pediatric Immunizations</w:t>
      </w:r>
      <w:r w:rsidR="00F9301B" w:rsidRPr="00833324">
        <w:rPr>
          <w:rFonts w:ascii="Arial" w:hAnsi="Arial" w:cs="Arial"/>
          <w:color w:val="73879C"/>
          <w:sz w:val="20"/>
          <w:szCs w:val="20"/>
        </w:rPr>
        <w:br/>
      </w:r>
      <w:r w:rsidR="00B47E72" w:rsidRPr="00833324">
        <w:rPr>
          <w:rFonts w:ascii="Arial" w:hAnsi="Arial" w:cs="Arial"/>
          <w:color w:val="73879C"/>
          <w:sz w:val="20"/>
          <w:szCs w:val="20"/>
          <w:shd w:val="clear" w:color="auto" w:fill="FFFFFF"/>
        </w:rPr>
        <w:t>4. Breast Cancer</w:t>
      </w:r>
    </w:p>
    <w:p w:rsidR="002F0C29" w:rsidRDefault="00B47E72" w:rsidP="003A0316">
      <w:pPr>
        <w:pStyle w:val="ListParagraph"/>
        <w:rPr>
          <w:rFonts w:ascii="Arial" w:hAnsi="Arial" w:cs="Arial"/>
          <w:color w:val="73879C"/>
          <w:sz w:val="20"/>
          <w:szCs w:val="20"/>
          <w:shd w:val="clear" w:color="auto" w:fill="FFFFFF"/>
        </w:rPr>
      </w:pPr>
      <w:r w:rsidRPr="00833324">
        <w:rPr>
          <w:rFonts w:ascii="Arial" w:hAnsi="Arial" w:cs="Arial"/>
          <w:color w:val="73879C"/>
          <w:sz w:val="20"/>
          <w:szCs w:val="20"/>
          <w:shd w:val="clear" w:color="auto" w:fill="FFFFFF"/>
        </w:rPr>
        <w:t>5. Human Papillomavirus</w:t>
      </w:r>
      <w:r w:rsidRPr="00833324">
        <w:rPr>
          <w:rFonts w:ascii="Arial" w:hAnsi="Arial" w:cs="Arial"/>
          <w:color w:val="73879C"/>
          <w:sz w:val="20"/>
          <w:szCs w:val="20"/>
        </w:rPr>
        <w:br/>
      </w:r>
      <w:r w:rsidRPr="00833324">
        <w:rPr>
          <w:rFonts w:ascii="Arial" w:hAnsi="Arial" w:cs="Arial"/>
          <w:color w:val="73879C"/>
          <w:sz w:val="20"/>
          <w:szCs w:val="20"/>
          <w:shd w:val="clear" w:color="auto" w:fill="FFFFFF"/>
        </w:rPr>
        <w:t>6. Cardiovascular Disorders</w:t>
      </w:r>
    </w:p>
    <w:p w:rsidR="00FD20BB" w:rsidRDefault="002F0C29" w:rsidP="003A0316">
      <w:pPr>
        <w:pStyle w:val="ListParagraph"/>
        <w:rPr>
          <w:rFonts w:ascii="Arial" w:hAnsi="Arial" w:cs="Arial"/>
          <w:color w:val="73879C"/>
          <w:sz w:val="20"/>
          <w:szCs w:val="20"/>
          <w:shd w:val="clear" w:color="auto" w:fill="FFFFFF"/>
        </w:rPr>
      </w:pPr>
      <w:r w:rsidRPr="00833324">
        <w:rPr>
          <w:rFonts w:ascii="Arial" w:hAnsi="Arial" w:cs="Arial"/>
          <w:color w:val="73879C"/>
          <w:sz w:val="20"/>
          <w:szCs w:val="20"/>
          <w:shd w:val="clear" w:color="auto" w:fill="FFFFFF"/>
        </w:rPr>
        <w:t>7. Hypertension</w:t>
      </w:r>
      <w:r w:rsidRPr="00833324">
        <w:rPr>
          <w:rFonts w:ascii="Arial" w:hAnsi="Arial" w:cs="Arial"/>
          <w:color w:val="73879C"/>
          <w:sz w:val="20"/>
          <w:szCs w:val="20"/>
        </w:rPr>
        <w:br/>
      </w:r>
      <w:r w:rsidRPr="00833324">
        <w:rPr>
          <w:rFonts w:ascii="Arial" w:hAnsi="Arial" w:cs="Arial"/>
          <w:color w:val="73879C"/>
          <w:sz w:val="20"/>
          <w:szCs w:val="20"/>
          <w:shd w:val="clear" w:color="auto" w:fill="FFFFFF"/>
        </w:rPr>
        <w:t>8. Intimate Partner Violence</w:t>
      </w:r>
      <w:r w:rsidRPr="00833324">
        <w:rPr>
          <w:rFonts w:ascii="Arial" w:hAnsi="Arial" w:cs="Arial"/>
          <w:color w:val="73879C"/>
          <w:sz w:val="20"/>
          <w:szCs w:val="20"/>
        </w:rPr>
        <w:br/>
      </w:r>
      <w:r w:rsidRPr="00833324">
        <w:rPr>
          <w:rFonts w:ascii="Arial" w:hAnsi="Arial" w:cs="Arial"/>
          <w:color w:val="73879C"/>
          <w:sz w:val="20"/>
          <w:szCs w:val="20"/>
          <w:shd w:val="clear" w:color="auto" w:fill="FFFFFF"/>
        </w:rPr>
        <w:t>9. Hepatitis B</w:t>
      </w:r>
      <w:r w:rsidRPr="00833324">
        <w:rPr>
          <w:rFonts w:ascii="Arial" w:hAnsi="Arial" w:cs="Arial"/>
          <w:color w:val="73879C"/>
          <w:sz w:val="20"/>
          <w:szCs w:val="20"/>
        </w:rPr>
        <w:br/>
      </w:r>
    </w:p>
    <w:p w:rsidR="00EE41B5" w:rsidRPr="001624BF" w:rsidRDefault="00EE41B5" w:rsidP="00EE41B5">
      <w:pPr>
        <w:pStyle w:val="ListParagraph"/>
      </w:pPr>
      <w:r w:rsidRPr="000F47C2">
        <w:rPr>
          <w:rFonts w:ascii="Arial" w:hAnsi="Arial" w:cs="Arial"/>
          <w:color w:val="00B050"/>
          <w:sz w:val="36"/>
          <w:szCs w:val="36"/>
          <w:shd w:val="clear" w:color="auto" w:fill="FFFFFF"/>
        </w:rPr>
        <w:t>NB:</w:t>
      </w:r>
      <w:r>
        <w:rPr>
          <w:rFonts w:ascii="Arial" w:hAnsi="Arial" w:cs="Arial"/>
          <w:color w:val="73879C"/>
          <w:sz w:val="20"/>
          <w:szCs w:val="20"/>
          <w:shd w:val="clear" w:color="auto" w:fill="FFFFFF"/>
        </w:rPr>
        <w:t xml:space="preserve"> </w:t>
      </w:r>
      <w:r w:rsidRPr="00833324">
        <w:rPr>
          <w:rFonts w:ascii="Arial" w:hAnsi="Arial" w:cs="Arial"/>
          <w:color w:val="73879C"/>
          <w:sz w:val="20"/>
          <w:szCs w:val="20"/>
          <w:shd w:val="clear" w:color="auto" w:fill="FFFFFF"/>
        </w:rPr>
        <w:t>Below you will find an example of what you will see on the final exam. The point is to be brief and direct, no more than a sentence or two for each bullet. I understand that everyone has their own style of answering these types of questions, so there is not necessarily a “right or wrong” way to complete the final. With this said, I do ask that you are brief and to the point. Please review the example as follows</w:t>
      </w:r>
      <w:proofErr w:type="gramStart"/>
      <w:r w:rsidRPr="00833324">
        <w:rPr>
          <w:rFonts w:ascii="Arial" w:hAnsi="Arial" w:cs="Arial"/>
          <w:color w:val="73879C"/>
          <w:sz w:val="20"/>
          <w:szCs w:val="20"/>
          <w:shd w:val="clear" w:color="auto" w:fill="FFFFFF"/>
        </w:rPr>
        <w:t>:</w:t>
      </w:r>
      <w:proofErr w:type="gramEnd"/>
      <w:r w:rsidRPr="00833324">
        <w:rPr>
          <w:rFonts w:ascii="Arial" w:hAnsi="Arial" w:cs="Arial"/>
          <w:color w:val="73879C"/>
          <w:sz w:val="20"/>
          <w:szCs w:val="20"/>
        </w:rPr>
        <w:br/>
      </w:r>
      <w:r w:rsidRPr="00833324">
        <w:rPr>
          <w:rFonts w:ascii="Arial" w:hAnsi="Arial" w:cs="Arial"/>
          <w:color w:val="73879C"/>
          <w:sz w:val="20"/>
          <w:szCs w:val="20"/>
        </w:rPr>
        <w:br/>
      </w:r>
      <w:r w:rsidRPr="000F47C2">
        <w:rPr>
          <w:rFonts w:ascii="Arial" w:hAnsi="Arial" w:cs="Arial"/>
          <w:color w:val="0070C0"/>
          <w:sz w:val="36"/>
          <w:szCs w:val="36"/>
          <w:shd w:val="clear" w:color="auto" w:fill="FFFFFF"/>
        </w:rPr>
        <w:t>Question:</w:t>
      </w:r>
      <w:r w:rsidRPr="00182DFB">
        <w:rPr>
          <w:rFonts w:ascii="Arial" w:hAnsi="Arial" w:cs="Arial"/>
          <w:color w:val="0070C0"/>
          <w:sz w:val="20"/>
          <w:szCs w:val="20"/>
          <w:shd w:val="clear" w:color="auto" w:fill="FFFFFF"/>
        </w:rPr>
        <w:t xml:space="preserve"> </w:t>
      </w:r>
      <w:r w:rsidRPr="00833324">
        <w:rPr>
          <w:rFonts w:ascii="Arial" w:hAnsi="Arial" w:cs="Arial"/>
          <w:color w:val="73879C"/>
          <w:sz w:val="20"/>
          <w:szCs w:val="20"/>
          <w:shd w:val="clear" w:color="auto" w:fill="FFFFFF"/>
        </w:rPr>
        <w:t xml:space="preserve">Please list five bullet points related </w:t>
      </w:r>
      <w:r w:rsidRPr="00491153">
        <w:rPr>
          <w:rFonts w:ascii="Arial" w:hAnsi="Arial" w:cs="Arial"/>
          <w:color w:val="FF0000"/>
          <w:sz w:val="20"/>
          <w:szCs w:val="20"/>
          <w:shd w:val="clear" w:color="auto" w:fill="FFFFFF"/>
        </w:rPr>
        <w:t>to Skin Cancer Preventive Guideline.</w:t>
      </w:r>
      <w:r w:rsidRPr="00833324">
        <w:rPr>
          <w:rFonts w:ascii="Arial" w:hAnsi="Arial" w:cs="Arial"/>
          <w:color w:val="73879C"/>
          <w:sz w:val="20"/>
          <w:szCs w:val="20"/>
          <w:shd w:val="clear" w:color="auto" w:fill="FFFFFF"/>
        </w:rPr>
        <w:t xml:space="preserve"> Use information learned from </w:t>
      </w:r>
      <w:r w:rsidRPr="00491153">
        <w:rPr>
          <w:rFonts w:ascii="Arial" w:hAnsi="Arial" w:cs="Arial"/>
          <w:color w:val="FF0000"/>
          <w:sz w:val="20"/>
          <w:szCs w:val="20"/>
          <w:shd w:val="clear" w:color="auto" w:fill="FFFFFF"/>
        </w:rPr>
        <w:t xml:space="preserve">the United States Preventive Service Task Force website </w:t>
      </w:r>
      <w:r w:rsidRPr="00833324">
        <w:rPr>
          <w:rFonts w:ascii="Arial" w:hAnsi="Arial" w:cs="Arial"/>
          <w:color w:val="73879C"/>
          <w:sz w:val="20"/>
          <w:szCs w:val="20"/>
          <w:shd w:val="clear" w:color="auto" w:fill="FFFFFF"/>
        </w:rPr>
        <w:t xml:space="preserve">along with other </w:t>
      </w:r>
      <w:r w:rsidRPr="00491153">
        <w:rPr>
          <w:rFonts w:ascii="Arial" w:hAnsi="Arial" w:cs="Arial"/>
          <w:color w:val="FF0000"/>
          <w:sz w:val="20"/>
          <w:szCs w:val="20"/>
          <w:shd w:val="clear" w:color="auto" w:fill="FFFFFF"/>
        </w:rPr>
        <w:t>specialty-specific organizational guidelines</w:t>
      </w:r>
      <w:r w:rsidRPr="00833324">
        <w:rPr>
          <w:rFonts w:ascii="Arial" w:hAnsi="Arial" w:cs="Arial"/>
          <w:color w:val="73879C"/>
          <w:sz w:val="20"/>
          <w:szCs w:val="20"/>
          <w:shd w:val="clear" w:color="auto" w:fill="FFFFFF"/>
        </w:rPr>
        <w:t xml:space="preserve"> as applicable.</w:t>
      </w:r>
    </w:p>
    <w:p w:rsidR="00EE41B5" w:rsidRPr="000F47C2" w:rsidRDefault="00EE41B5" w:rsidP="00EE41B5">
      <w:pPr>
        <w:pStyle w:val="ListParagraph"/>
        <w:rPr>
          <w:color w:val="0070C0"/>
          <w:sz w:val="36"/>
          <w:szCs w:val="36"/>
        </w:rPr>
      </w:pPr>
      <w:r w:rsidRPr="000F47C2">
        <w:rPr>
          <w:rFonts w:ascii="Arial" w:hAnsi="Arial" w:cs="Arial"/>
          <w:color w:val="0070C0"/>
          <w:sz w:val="36"/>
          <w:szCs w:val="36"/>
          <w:shd w:val="clear" w:color="auto" w:fill="FFFFFF"/>
        </w:rPr>
        <w:t>Answers:</w:t>
      </w:r>
    </w:p>
    <w:p w:rsidR="00EE41B5" w:rsidRPr="00833324" w:rsidRDefault="00EE41B5" w:rsidP="00EE41B5">
      <w:pPr>
        <w:pStyle w:val="ListParagraph"/>
        <w:numPr>
          <w:ilvl w:val="0"/>
          <w:numId w:val="2"/>
        </w:numPr>
      </w:pPr>
      <w:r w:rsidRPr="00833324">
        <w:rPr>
          <w:rFonts w:ascii="Arial" w:hAnsi="Arial" w:cs="Arial"/>
          <w:color w:val="73879C"/>
          <w:sz w:val="20"/>
          <w:szCs w:val="20"/>
          <w:shd w:val="clear" w:color="auto" w:fill="FFFFFF"/>
        </w:rPr>
        <w:t xml:space="preserve">Skin cancer occurs more commonly in men than women, those who are fair skinned, use indoor tanning beds, and have a </w:t>
      </w:r>
      <w:proofErr w:type="spellStart"/>
      <w:r w:rsidRPr="00833324">
        <w:rPr>
          <w:rFonts w:ascii="Arial" w:hAnsi="Arial" w:cs="Arial"/>
          <w:color w:val="73879C"/>
          <w:sz w:val="20"/>
          <w:szCs w:val="20"/>
          <w:shd w:val="clear" w:color="auto" w:fill="FFFFFF"/>
        </w:rPr>
        <w:t>hx</w:t>
      </w:r>
      <w:proofErr w:type="spellEnd"/>
      <w:r w:rsidRPr="00833324">
        <w:rPr>
          <w:rFonts w:ascii="Arial" w:hAnsi="Arial" w:cs="Arial"/>
          <w:color w:val="73879C"/>
          <w:sz w:val="20"/>
          <w:szCs w:val="20"/>
          <w:shd w:val="clear" w:color="auto" w:fill="FFFFFF"/>
        </w:rPr>
        <w:t xml:space="preserve"> of sunburns or previous skin cancer, OR Risk: men &gt; women; fair skinned, use of tanning beds, </w:t>
      </w:r>
      <w:proofErr w:type="spellStart"/>
      <w:r w:rsidRPr="00833324">
        <w:rPr>
          <w:rFonts w:ascii="Arial" w:hAnsi="Arial" w:cs="Arial"/>
          <w:color w:val="73879C"/>
          <w:sz w:val="20"/>
          <w:szCs w:val="20"/>
          <w:shd w:val="clear" w:color="auto" w:fill="FFFFFF"/>
        </w:rPr>
        <w:t>hx</w:t>
      </w:r>
      <w:proofErr w:type="spellEnd"/>
      <w:r w:rsidRPr="00833324">
        <w:rPr>
          <w:rFonts w:ascii="Arial" w:hAnsi="Arial" w:cs="Arial"/>
          <w:color w:val="73879C"/>
          <w:sz w:val="20"/>
          <w:szCs w:val="20"/>
          <w:shd w:val="clear" w:color="auto" w:fill="FFFFFF"/>
        </w:rPr>
        <w:t xml:space="preserve"> of sunburns or previous skin cancer.</w:t>
      </w:r>
      <w:r>
        <w:rPr>
          <w:rFonts w:ascii="Arial" w:hAnsi="Arial" w:cs="Arial"/>
          <w:color w:val="73879C"/>
          <w:sz w:val="20"/>
          <w:szCs w:val="20"/>
          <w:shd w:val="clear" w:color="auto" w:fill="FFFFFF"/>
        </w:rPr>
        <w:t xml:space="preserve"> (</w:t>
      </w:r>
      <w:r w:rsidRPr="00182DFB">
        <w:rPr>
          <w:rFonts w:ascii="Arial" w:hAnsi="Arial" w:cs="Arial"/>
          <w:color w:val="FF0000"/>
          <w:sz w:val="20"/>
          <w:szCs w:val="20"/>
          <w:shd w:val="clear" w:color="auto" w:fill="FFFFFF"/>
        </w:rPr>
        <w:t>high</w:t>
      </w:r>
      <w:r>
        <w:rPr>
          <w:rFonts w:ascii="Arial" w:hAnsi="Arial" w:cs="Arial"/>
          <w:color w:val="73879C"/>
          <w:sz w:val="20"/>
          <w:szCs w:val="20"/>
          <w:shd w:val="clear" w:color="auto" w:fill="FFFFFF"/>
        </w:rPr>
        <w:t xml:space="preserve"> </w:t>
      </w:r>
      <w:r w:rsidRPr="00330333">
        <w:rPr>
          <w:rFonts w:ascii="Arial" w:hAnsi="Arial" w:cs="Arial"/>
          <w:color w:val="FF0000"/>
          <w:sz w:val="20"/>
          <w:szCs w:val="20"/>
          <w:shd w:val="clear" w:color="auto" w:fill="FFFFFF"/>
        </w:rPr>
        <w:t>risk</w:t>
      </w:r>
      <w:r>
        <w:rPr>
          <w:rFonts w:ascii="Arial" w:hAnsi="Arial" w:cs="Arial"/>
          <w:color w:val="FF0000"/>
          <w:sz w:val="20"/>
          <w:szCs w:val="20"/>
          <w:shd w:val="clear" w:color="auto" w:fill="FFFFFF"/>
        </w:rPr>
        <w:t xml:space="preserve"> groups</w:t>
      </w:r>
      <w:r w:rsidRPr="00330333">
        <w:rPr>
          <w:rFonts w:ascii="Arial" w:hAnsi="Arial" w:cs="Arial"/>
          <w:color w:val="FF0000"/>
          <w:sz w:val="20"/>
          <w:szCs w:val="20"/>
          <w:shd w:val="clear" w:color="auto" w:fill="FFFFFF"/>
        </w:rPr>
        <w:t xml:space="preserve"> and prevalence’s</w:t>
      </w:r>
      <w:r>
        <w:rPr>
          <w:rFonts w:ascii="Arial" w:hAnsi="Arial" w:cs="Arial"/>
          <w:color w:val="73879C"/>
          <w:sz w:val="20"/>
          <w:szCs w:val="20"/>
          <w:shd w:val="clear" w:color="auto" w:fill="FFFFFF"/>
        </w:rPr>
        <w:t>)</w:t>
      </w:r>
    </w:p>
    <w:p w:rsidR="00EE41B5" w:rsidRPr="009F3704" w:rsidRDefault="00EE41B5" w:rsidP="00EE41B5">
      <w:pPr>
        <w:pStyle w:val="ListParagraph"/>
        <w:numPr>
          <w:ilvl w:val="0"/>
          <w:numId w:val="2"/>
        </w:numPr>
      </w:pPr>
      <w:r w:rsidRPr="00833324">
        <w:rPr>
          <w:rFonts w:ascii="Arial" w:hAnsi="Arial" w:cs="Arial"/>
          <w:color w:val="73879C"/>
          <w:sz w:val="20"/>
          <w:szCs w:val="20"/>
          <w:shd w:val="clear" w:color="auto" w:fill="FFFFFF"/>
        </w:rPr>
        <w:t>The appropriate screening test is the clinical visual skin exam using the “ABCDE rule” OR Use ABCDE screening test.</w:t>
      </w:r>
      <w:r>
        <w:rPr>
          <w:rFonts w:ascii="Arial" w:hAnsi="Arial" w:cs="Arial"/>
          <w:color w:val="73879C"/>
          <w:sz w:val="20"/>
          <w:szCs w:val="20"/>
          <w:shd w:val="clear" w:color="auto" w:fill="FFFFFF"/>
        </w:rPr>
        <w:t xml:space="preserve"> (</w:t>
      </w:r>
      <w:r w:rsidRPr="005838B1">
        <w:rPr>
          <w:rFonts w:ascii="Arial" w:hAnsi="Arial" w:cs="Arial"/>
          <w:color w:val="FF0000"/>
          <w:sz w:val="20"/>
          <w:szCs w:val="20"/>
          <w:shd w:val="clear" w:color="auto" w:fill="FFFFFF"/>
        </w:rPr>
        <w:t>guideline</w:t>
      </w:r>
      <w:r>
        <w:rPr>
          <w:rFonts w:ascii="Arial" w:hAnsi="Arial" w:cs="Arial"/>
          <w:color w:val="73879C"/>
          <w:sz w:val="20"/>
          <w:szCs w:val="20"/>
          <w:shd w:val="clear" w:color="auto" w:fill="FFFFFF"/>
        </w:rPr>
        <w:t>- leave a link)</w:t>
      </w:r>
    </w:p>
    <w:p w:rsidR="00EE41B5" w:rsidRPr="009F3704" w:rsidRDefault="00EE41B5" w:rsidP="00EE41B5">
      <w:pPr>
        <w:pStyle w:val="ListParagraph"/>
        <w:numPr>
          <w:ilvl w:val="0"/>
          <w:numId w:val="2"/>
        </w:numPr>
      </w:pPr>
      <w:r w:rsidRPr="00833324">
        <w:rPr>
          <w:rFonts w:ascii="Arial" w:hAnsi="Arial" w:cs="Arial"/>
          <w:color w:val="73879C"/>
          <w:sz w:val="20"/>
          <w:szCs w:val="20"/>
          <w:shd w:val="clear" w:color="auto" w:fill="FFFFFF"/>
        </w:rPr>
        <w:t xml:space="preserve">The ABCDE rule consists of looking for the following characteristics: asymmetry, border irregularity, non-uniform color, </w:t>
      </w:r>
      <w:proofErr w:type="gramStart"/>
      <w:r w:rsidRPr="00833324">
        <w:rPr>
          <w:rFonts w:ascii="Arial" w:hAnsi="Arial" w:cs="Arial"/>
          <w:color w:val="73879C"/>
          <w:sz w:val="20"/>
          <w:szCs w:val="20"/>
          <w:shd w:val="clear" w:color="auto" w:fill="FFFFFF"/>
        </w:rPr>
        <w:t>diameter</w:t>
      </w:r>
      <w:proofErr w:type="gramEnd"/>
      <w:r w:rsidRPr="00833324">
        <w:rPr>
          <w:rFonts w:ascii="Arial" w:hAnsi="Arial" w:cs="Arial"/>
          <w:color w:val="73879C"/>
          <w:sz w:val="20"/>
          <w:szCs w:val="20"/>
          <w:shd w:val="clear" w:color="auto" w:fill="FFFFFF"/>
        </w:rPr>
        <w:t xml:space="preserve"> &gt; 6mm, and evolving over time, OR Look for ABCDE = asymmetry, border irregularity, non-uniform color, diameter &gt; 6mm, and evolving over time.</w:t>
      </w:r>
      <w:r>
        <w:rPr>
          <w:rFonts w:ascii="Arial" w:hAnsi="Arial" w:cs="Arial"/>
          <w:color w:val="73879C"/>
          <w:sz w:val="20"/>
          <w:szCs w:val="20"/>
          <w:shd w:val="clear" w:color="auto" w:fill="FFFFFF"/>
        </w:rPr>
        <w:t xml:space="preserve"> (</w:t>
      </w:r>
      <w:r w:rsidRPr="00330333">
        <w:rPr>
          <w:rFonts w:ascii="Arial" w:hAnsi="Arial" w:cs="Arial"/>
          <w:color w:val="FF0000"/>
          <w:sz w:val="20"/>
          <w:szCs w:val="20"/>
          <w:shd w:val="clear" w:color="auto" w:fill="FFFFFF"/>
        </w:rPr>
        <w:t>clinical use- interpretation of results of selected guideline</w:t>
      </w:r>
      <w:r>
        <w:rPr>
          <w:rFonts w:ascii="Arial" w:hAnsi="Arial" w:cs="Arial"/>
          <w:color w:val="73879C"/>
          <w:sz w:val="20"/>
          <w:szCs w:val="20"/>
          <w:shd w:val="clear" w:color="auto" w:fill="FFFFFF"/>
        </w:rPr>
        <w:t>)</w:t>
      </w:r>
    </w:p>
    <w:p w:rsidR="00EE41B5" w:rsidRPr="009F3704" w:rsidRDefault="00EE41B5" w:rsidP="00EE41B5">
      <w:pPr>
        <w:pStyle w:val="ListParagraph"/>
        <w:numPr>
          <w:ilvl w:val="0"/>
          <w:numId w:val="2"/>
        </w:numPr>
      </w:pPr>
      <w:r w:rsidRPr="00330333">
        <w:rPr>
          <w:rFonts w:ascii="Arial" w:hAnsi="Arial" w:cs="Arial"/>
          <w:color w:val="FF0000"/>
          <w:sz w:val="20"/>
          <w:szCs w:val="20"/>
          <w:shd w:val="clear" w:color="auto" w:fill="FFFFFF"/>
        </w:rPr>
        <w:t xml:space="preserve">Treatment and intervention </w:t>
      </w:r>
      <w:r w:rsidRPr="00833324">
        <w:rPr>
          <w:rFonts w:ascii="Arial" w:hAnsi="Arial" w:cs="Arial"/>
          <w:color w:val="73879C"/>
          <w:sz w:val="20"/>
          <w:szCs w:val="20"/>
          <w:shd w:val="clear" w:color="auto" w:fill="FFFFFF"/>
        </w:rPr>
        <w:t>– generally would be excision/biopsy; referral to dermatology, OR TX: excision/biopsy, referral to dermatology.</w:t>
      </w:r>
    </w:p>
    <w:p w:rsidR="00EE41B5" w:rsidRDefault="00EE41B5" w:rsidP="00EE41B5">
      <w:pPr>
        <w:pStyle w:val="ListParagraph"/>
        <w:numPr>
          <w:ilvl w:val="0"/>
          <w:numId w:val="2"/>
        </w:numPr>
      </w:pPr>
      <w:r w:rsidRPr="00833324">
        <w:rPr>
          <w:rFonts w:ascii="Arial" w:hAnsi="Arial" w:cs="Arial"/>
          <w:color w:val="73879C"/>
          <w:sz w:val="20"/>
          <w:szCs w:val="20"/>
          <w:shd w:val="clear" w:color="auto" w:fill="FFFFFF"/>
        </w:rPr>
        <w:t>Children, adolescents, and young adults age 10–24 years who have fair skin should be counseled about minimizing exposure to UV radiation to reduce their risk of developing skin cancer, OR Counsel people 10–24 years of age with fair skin to avoid UV radiation exposure to decrease risk.</w:t>
      </w:r>
      <w:r>
        <w:rPr>
          <w:rFonts w:ascii="Arial" w:hAnsi="Arial" w:cs="Arial"/>
          <w:color w:val="73879C"/>
          <w:sz w:val="20"/>
          <w:szCs w:val="20"/>
          <w:shd w:val="clear" w:color="auto" w:fill="FFFFFF"/>
        </w:rPr>
        <w:t xml:space="preserve"> (</w:t>
      </w:r>
      <w:r w:rsidRPr="00330333">
        <w:rPr>
          <w:rFonts w:ascii="Arial" w:hAnsi="Arial" w:cs="Arial"/>
          <w:color w:val="FF0000"/>
          <w:sz w:val="20"/>
          <w:szCs w:val="20"/>
          <w:shd w:val="clear" w:color="auto" w:fill="FFFFFF"/>
        </w:rPr>
        <w:t>health promotion and education relating to the guideline</w:t>
      </w:r>
      <w:r>
        <w:rPr>
          <w:rFonts w:ascii="Arial" w:hAnsi="Arial" w:cs="Arial"/>
          <w:color w:val="73879C"/>
          <w:sz w:val="20"/>
          <w:szCs w:val="20"/>
          <w:shd w:val="clear" w:color="auto" w:fill="FFFFFF"/>
        </w:rPr>
        <w:t>)</w:t>
      </w:r>
    </w:p>
    <w:p w:rsidR="00D20EFF" w:rsidRDefault="00D20EFF" w:rsidP="003A0316">
      <w:pPr>
        <w:pStyle w:val="ListParagraph"/>
        <w:rPr>
          <w:rFonts w:ascii="Arial" w:hAnsi="Arial" w:cs="Arial"/>
          <w:color w:val="73879C"/>
          <w:sz w:val="20"/>
          <w:szCs w:val="20"/>
          <w:shd w:val="clear" w:color="auto" w:fill="FFFFFF"/>
        </w:rPr>
      </w:pPr>
    </w:p>
    <w:p w:rsidR="00FD20BB" w:rsidRDefault="00FD20BB" w:rsidP="003A0316">
      <w:pPr>
        <w:pStyle w:val="ListParagraph"/>
        <w:rPr>
          <w:rFonts w:ascii="Arial" w:hAnsi="Arial" w:cs="Arial"/>
          <w:color w:val="73879C"/>
          <w:sz w:val="20"/>
          <w:szCs w:val="20"/>
          <w:shd w:val="clear" w:color="auto" w:fill="FFFFFF"/>
        </w:rPr>
      </w:pPr>
      <w:bookmarkStart w:id="0" w:name="_GoBack"/>
      <w:bookmarkEnd w:id="0"/>
    </w:p>
    <w:sectPr w:rsidR="00FD2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3F25"/>
    <w:multiLevelType w:val="hybridMultilevel"/>
    <w:tmpl w:val="41E0C4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7719B"/>
    <w:multiLevelType w:val="hybridMultilevel"/>
    <w:tmpl w:val="2B3A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1B"/>
    <w:rsid w:val="000F47C2"/>
    <w:rsid w:val="001624BF"/>
    <w:rsid w:val="00182DFB"/>
    <w:rsid w:val="001A7924"/>
    <w:rsid w:val="001E778F"/>
    <w:rsid w:val="001F3AE1"/>
    <w:rsid w:val="002F0C29"/>
    <w:rsid w:val="00330333"/>
    <w:rsid w:val="003A0316"/>
    <w:rsid w:val="00491153"/>
    <w:rsid w:val="005838B1"/>
    <w:rsid w:val="00596915"/>
    <w:rsid w:val="00660C0C"/>
    <w:rsid w:val="007C4ABD"/>
    <w:rsid w:val="00833324"/>
    <w:rsid w:val="008E2FC6"/>
    <w:rsid w:val="009F3704"/>
    <w:rsid w:val="00B47E72"/>
    <w:rsid w:val="00D20EFF"/>
    <w:rsid w:val="00D9243D"/>
    <w:rsid w:val="00EE41B5"/>
    <w:rsid w:val="00F9301B"/>
    <w:rsid w:val="00FD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5F80"/>
  <w15:chartTrackingRefBased/>
  <w15:docId w15:val="{7DF3D824-47C3-4350-904B-498F5669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cp:revision>
  <dcterms:created xsi:type="dcterms:W3CDTF">2022-11-26T15:49:00Z</dcterms:created>
  <dcterms:modified xsi:type="dcterms:W3CDTF">2022-11-26T16:26:00Z</dcterms:modified>
</cp:coreProperties>
</file>