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E53177" w:rsidRPr="00624416" w:rsidP="003948F0">
      <w:pPr>
        <w:spacing w:before="100" w:beforeAutospacing="1" w:after="100" w:afterAutospacing="1" w:line="480" w:lineRule="auto"/>
        <w:jc w:val="center"/>
        <w:textAlignment w:val="baseline"/>
        <w:rPr>
          <w:rFonts w:eastAsia="Times New Roman"/>
          <w:b/>
          <w:bCs/>
          <w:szCs w:val="24"/>
        </w:rPr>
      </w:pPr>
      <w:r w:rsidRPr="00624416">
        <w:rPr>
          <w:rFonts w:eastAsia="Times New Roman"/>
          <w:b/>
          <w:bCs/>
          <w:szCs w:val="24"/>
        </w:rPr>
        <w:t>LESSON PLAN</w:t>
      </w:r>
    </w:p>
    <w:p w:rsidR="00624416" w:rsidRPr="00624416" w:rsidP="00624416">
      <w:pPr>
        <w:spacing w:before="120" w:line="480" w:lineRule="auto"/>
        <w:textAlignment w:val="baseline"/>
        <w:rPr>
          <w:rFonts w:eastAsia="Times New Roman"/>
          <w:szCs w:val="24"/>
        </w:rPr>
      </w:pPr>
      <w:r w:rsidRPr="00624416">
        <w:rPr>
          <w:rFonts w:eastAsia="Times New Roman"/>
          <w:szCs w:val="24"/>
        </w:rPr>
        <w:t>Course Title</w:t>
      </w:r>
      <w:r w:rsidRPr="00624416">
        <w:rPr>
          <w:rFonts w:eastAsia="Times New Roman"/>
          <w:b/>
          <w:bCs/>
          <w:szCs w:val="24"/>
        </w:rPr>
        <w:t xml:space="preserve">: </w:t>
      </w:r>
      <w:r w:rsidRPr="00624416">
        <w:rPr>
          <w:rFonts w:eastAsia="Times New Roman"/>
          <w:b/>
          <w:szCs w:val="24"/>
        </w:rPr>
        <w:t>Safe Medication Administration</w:t>
      </w:r>
    </w:p>
    <w:p w:rsidR="005A5D15" w:rsidRPr="00624416" w:rsidP="00624416">
      <w:pPr>
        <w:spacing w:before="120" w:after="120" w:line="480" w:lineRule="auto"/>
        <w:ind w:firstLine="720"/>
        <w:jc w:val="both"/>
        <w:rPr>
          <w:b/>
          <w:bCs/>
          <w:szCs w:val="24"/>
        </w:rPr>
      </w:pPr>
      <w:r w:rsidRPr="00624416">
        <w:rPr>
          <w:b/>
          <w:bCs/>
          <w:szCs w:val="24"/>
        </w:rPr>
        <w:t>Introduction.</w:t>
      </w:r>
    </w:p>
    <w:p w:rsidR="0025216A" w:rsidRPr="00624416" w:rsidP="00624416">
      <w:pPr>
        <w:spacing w:before="120" w:after="120" w:line="480" w:lineRule="auto"/>
        <w:ind w:firstLine="720"/>
        <w:jc w:val="both"/>
        <w:rPr>
          <w:bCs/>
          <w:szCs w:val="24"/>
        </w:rPr>
      </w:pPr>
      <w:r w:rsidRPr="00624416">
        <w:rPr>
          <w:bCs/>
          <w:szCs w:val="24"/>
        </w:rPr>
        <w:t>Healthcare workers play a critical role in medical therapy. The rising concerns of medication administration errors have been linked to poor and ineffective nursing training programs. Compounded with other contributing factors, nurses' role in healthcare provision can either deter or lead to medication errors. The faculty, in consideration of these factors, has introduced the Safe Medication Administration in the curriculum to foster and equip its nursing students with the requisite formal and technical know-how of drug administration.</w:t>
      </w:r>
    </w:p>
    <w:p w:rsidR="004C6196" w:rsidRPr="00624416" w:rsidP="00624416">
      <w:pPr>
        <w:spacing w:before="120" w:line="480" w:lineRule="auto"/>
        <w:ind w:firstLine="720"/>
        <w:jc w:val="both"/>
        <w:textAlignment w:val="baseline"/>
        <w:rPr>
          <w:rFonts w:eastAsia="Times New Roman"/>
          <w:b/>
          <w:bCs/>
          <w:szCs w:val="24"/>
        </w:rPr>
      </w:pPr>
      <w:r w:rsidRPr="00624416">
        <w:rPr>
          <w:rFonts w:eastAsia="Times New Roman"/>
          <w:b/>
          <w:bCs/>
          <w:szCs w:val="24"/>
        </w:rPr>
        <w:t xml:space="preserve">Purpose </w:t>
      </w:r>
      <w:r w:rsidRPr="00624416" w:rsidR="00624416">
        <w:rPr>
          <w:rFonts w:eastAsia="Times New Roman"/>
          <w:b/>
          <w:bCs/>
          <w:szCs w:val="24"/>
        </w:rPr>
        <w:t xml:space="preserve">of the </w:t>
      </w:r>
      <w:r w:rsidRPr="00624416">
        <w:rPr>
          <w:rFonts w:eastAsia="Times New Roman"/>
          <w:b/>
          <w:bCs/>
          <w:szCs w:val="24"/>
        </w:rPr>
        <w:t xml:space="preserve">Course. </w:t>
      </w:r>
    </w:p>
    <w:p w:rsidR="00624416" w:rsidP="00624416">
      <w:pPr>
        <w:tabs>
          <w:tab w:val="left" w:pos="1935"/>
        </w:tabs>
        <w:suppressAutoHyphens/>
        <w:spacing w:after="0" w:line="360" w:lineRule="auto"/>
        <w:jc w:val="both"/>
        <w:rPr>
          <w:b/>
          <w:bCs/>
          <w:szCs w:val="24"/>
        </w:rPr>
      </w:pPr>
      <w:r w:rsidRPr="00624416">
        <w:rPr>
          <w:rFonts w:eastAsia="Times New Roman"/>
          <w:bCs/>
          <w:szCs w:val="24"/>
        </w:rPr>
        <w:t xml:space="preserve">This course aims at introducing learners to the basics of sound and secure health </w:t>
      </w:r>
      <w:r w:rsidRPr="00624416" w:rsidR="004C6196">
        <w:rPr>
          <w:rFonts w:eastAsia="Times New Roman"/>
          <w:bCs/>
          <w:szCs w:val="24"/>
        </w:rPr>
        <w:t>techniques and the role of a nurse in the administration of drugs</w:t>
      </w:r>
      <w:r w:rsidRPr="00624416" w:rsidR="004C6196">
        <w:rPr>
          <w:rFonts w:eastAsia="Times New Roman"/>
          <w:b/>
          <w:bCs/>
          <w:szCs w:val="24"/>
        </w:rPr>
        <w:t>.</w:t>
      </w:r>
      <w:r w:rsidRPr="00624416" w:rsidR="00CC7869">
        <w:rPr>
          <w:szCs w:val="24"/>
        </w:rPr>
        <w:t xml:space="preserve"> The course's purpose is to </w:t>
      </w:r>
      <w:r w:rsidRPr="00624416" w:rsidR="004A3CC1">
        <w:rPr>
          <w:szCs w:val="24"/>
        </w:rPr>
        <w:t xml:space="preserve">enable </w:t>
      </w:r>
      <w:r w:rsidRPr="00624416" w:rsidR="00CC7869">
        <w:rPr>
          <w:szCs w:val="24"/>
        </w:rPr>
        <w:t>the students to comprehend the ethical dilemmas that face healthcare providers critically, and how they counter or (ought to) counter such difficulties.</w:t>
      </w:r>
      <w:r w:rsidRPr="00624416" w:rsidR="004A3CC1">
        <w:rPr>
          <w:szCs w:val="24"/>
        </w:rPr>
        <w:t xml:space="preserve"> The course exposes the student to the various policies and practices upon which the full realization of the right to health is attained.</w:t>
      </w:r>
      <w:r w:rsidRPr="00624416" w:rsidR="00DC7DE9">
        <w:rPr>
          <w:szCs w:val="24"/>
        </w:rPr>
        <w:t xml:space="preserve"> It aims to equip students with the technical know-how of the guidelines governing drug administration, such as procedural formalities, accuracy, and verification processes, all aimed at ensuring that the proper medication is administered to the patient through the appropriate avenue, in the correct dosage.</w:t>
      </w:r>
      <w:r w:rsidRPr="00624416" w:rsidR="00BD46D1">
        <w:rPr>
          <w:szCs w:val="24"/>
        </w:rPr>
        <w:t xml:space="preserve"> It equips students with the knowledge and application of fundamental safe administration practices to reduce medication errors.</w:t>
      </w:r>
      <w:r w:rsidRPr="00624416" w:rsidR="005A5D15">
        <w:rPr>
          <w:szCs w:val="24"/>
        </w:rPr>
        <w:t xml:space="preserve"> It enlights students the rights </w:t>
      </w:r>
      <w:r w:rsidRPr="00624416" w:rsidR="005A5D15">
        <w:rPr>
          <w:szCs w:val="24"/>
        </w:rPr>
        <w:t>they should consider during drug administration; the right client, correct medication, accurate dosage, proper timing, right avenues of drug administration, and effective health records documentation and prescription.</w:t>
      </w:r>
      <w:r w:rsidRPr="00624416">
        <w:rPr>
          <w:b/>
          <w:bCs/>
          <w:szCs w:val="24"/>
        </w:rPr>
        <w:t xml:space="preserve"> </w:t>
      </w:r>
    </w:p>
    <w:p w:rsidR="00624416" w:rsidP="00624416">
      <w:pPr>
        <w:tabs>
          <w:tab w:val="left" w:pos="1935"/>
        </w:tabs>
        <w:suppressAutoHyphens/>
        <w:spacing w:after="0" w:line="480" w:lineRule="auto"/>
        <w:ind w:firstLine="1930"/>
        <w:jc w:val="both"/>
        <w:rPr>
          <w:b/>
          <w:bCs/>
          <w:szCs w:val="24"/>
        </w:rPr>
      </w:pPr>
      <w:r w:rsidRPr="00624416">
        <w:rPr>
          <w:b/>
          <w:bCs/>
          <w:szCs w:val="24"/>
        </w:rPr>
        <w:t>Course Description</w:t>
      </w:r>
      <w:r w:rsidRPr="00624416">
        <w:rPr>
          <w:b/>
          <w:bCs/>
          <w:szCs w:val="24"/>
        </w:rPr>
        <w:tab/>
      </w:r>
    </w:p>
    <w:p w:rsidR="00624416" w:rsidRPr="00624416" w:rsidP="00624416">
      <w:pPr>
        <w:tabs>
          <w:tab w:val="left" w:pos="1935"/>
        </w:tabs>
        <w:suppressAutoHyphens/>
        <w:spacing w:after="0" w:line="480" w:lineRule="auto"/>
        <w:ind w:firstLine="1930"/>
        <w:jc w:val="both"/>
        <w:rPr>
          <w:b/>
          <w:bCs/>
          <w:szCs w:val="24"/>
        </w:rPr>
      </w:pPr>
      <w:r w:rsidRPr="00624416">
        <w:rPr>
          <w:bCs/>
          <w:szCs w:val="24"/>
        </w:rPr>
        <w:t xml:space="preserve">Nursing care; Role of a nurse in medication therapy, Common medication errors, miscellaneous medication errors, </w:t>
      </w:r>
      <w:r>
        <w:rPr>
          <w:szCs w:val="24"/>
        </w:rPr>
        <w:t xml:space="preserve">Adverse </w:t>
      </w:r>
      <w:r w:rsidRPr="00624416">
        <w:rPr>
          <w:szCs w:val="24"/>
        </w:rPr>
        <w:t xml:space="preserve">Drug Events and reactions, medication Error-Prone Processes, </w:t>
      </w:r>
      <w:r w:rsidRPr="00624416">
        <w:rPr>
          <w:szCs w:val="24"/>
          <w:shd w:val="clear" w:color="auto" w:fill="FFFFFF"/>
        </w:rPr>
        <w:t xml:space="preserve">improved and standardized drug labeling. </w:t>
      </w:r>
      <w:r w:rsidRPr="00624416">
        <w:rPr>
          <w:bCs/>
          <w:iCs/>
          <w:color w:val="000000"/>
          <w:szCs w:val="24"/>
        </w:rPr>
        <w:t>Policies, procedures, guidelines, regulations, and protocols that impact medication safety. The role of patients in medication administration and the system in medication administration.</w:t>
      </w:r>
      <w:r w:rsidRPr="00624416">
        <w:rPr>
          <w:szCs w:val="24"/>
        </w:rPr>
        <w:t xml:space="preserve"> </w:t>
      </w:r>
      <w:r w:rsidRPr="00624416">
        <w:rPr>
          <w:bCs/>
          <w:iCs/>
          <w:color w:val="000000"/>
          <w:szCs w:val="24"/>
        </w:rPr>
        <w:t>The pharmacological realization for healthcare workers. Drug dosage; intravenous flow rates. Common medication mistakes made by nursing students, causes of medication administration errors.</w:t>
      </w:r>
    </w:p>
    <w:p w:rsidR="007A4B2F" w:rsidRPr="00624416" w:rsidP="007A4B2F">
      <w:pPr>
        <w:tabs>
          <w:tab w:val="left" w:pos="0"/>
        </w:tabs>
        <w:suppressAutoHyphens/>
        <w:spacing w:after="0" w:line="360" w:lineRule="auto"/>
        <w:jc w:val="both"/>
        <w:rPr>
          <w:b/>
          <w:bCs/>
          <w:szCs w:val="24"/>
        </w:rPr>
      </w:pPr>
      <w:r w:rsidRPr="00624416">
        <w:rPr>
          <w:b/>
          <w:bCs/>
          <w:szCs w:val="24"/>
        </w:rPr>
        <w:t>Expected Learning Outcomes</w:t>
      </w:r>
      <w:r w:rsidRPr="00624416">
        <w:rPr>
          <w:szCs w:val="24"/>
        </w:rPr>
        <w:t>:</w:t>
      </w:r>
    </w:p>
    <w:p w:rsidR="007A4B2F" w:rsidRPr="00624416" w:rsidP="007A4B2F">
      <w:pPr>
        <w:tabs>
          <w:tab w:val="left" w:pos="0"/>
        </w:tabs>
        <w:suppressAutoHyphens/>
        <w:spacing w:after="0" w:line="360" w:lineRule="auto"/>
        <w:jc w:val="both"/>
        <w:rPr>
          <w:szCs w:val="24"/>
        </w:rPr>
      </w:pPr>
      <w:r w:rsidRPr="00624416">
        <w:rPr>
          <w:szCs w:val="24"/>
        </w:rPr>
        <w:t xml:space="preserve">By the end of the course, students should be able to: </w:t>
      </w:r>
    </w:p>
    <w:p w:rsidR="004B324D"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 xml:space="preserve">Understand </w:t>
      </w:r>
      <w:r w:rsidRPr="00624416">
        <w:rPr>
          <w:szCs w:val="24"/>
        </w:rPr>
        <w:t>basic concepts of health care and drug administration.</w:t>
      </w:r>
    </w:p>
    <w:p w:rsidR="007A4B2F"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Make convincing and practical proposals for proper drug administration.</w:t>
      </w:r>
    </w:p>
    <w:p w:rsidR="007A4B2F"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Analyze the medical, legal, and moral obligation bestowed upon healthcare workers of effectively administering drugs.</w:t>
      </w:r>
    </w:p>
    <w:p w:rsidR="007A4B2F"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Appreciate the importance of a health system free from excessive mistakes.</w:t>
      </w:r>
    </w:p>
    <w:p w:rsidR="004B324D"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Acquit themselves with the various policies,  codes, guidelines, procedures, and regulations that govern healthcare providers,  medical practitioners, and other healthcare professionals in drug safe and secure administration.</w:t>
      </w:r>
    </w:p>
    <w:p w:rsidR="00511872"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 xml:space="preserve">Recognize common </w:t>
      </w:r>
      <w:r w:rsidRPr="00624416" w:rsidR="00575403">
        <w:rPr>
          <w:szCs w:val="24"/>
        </w:rPr>
        <w:t>medication administration errors.</w:t>
      </w:r>
    </w:p>
    <w:p w:rsidR="003158CE" w:rsidRPr="00624416" w:rsidP="00615385">
      <w:pPr>
        <w:pStyle w:val="ListParagraph"/>
        <w:numPr>
          <w:ilvl w:val="0"/>
          <w:numId w:val="21"/>
        </w:numPr>
        <w:tabs>
          <w:tab w:val="left" w:pos="0"/>
        </w:tabs>
        <w:suppressAutoHyphens/>
        <w:spacing w:after="0" w:line="360" w:lineRule="auto"/>
        <w:jc w:val="both"/>
        <w:rPr>
          <w:szCs w:val="24"/>
        </w:rPr>
      </w:pPr>
      <w:r w:rsidRPr="00624416">
        <w:rPr>
          <w:szCs w:val="24"/>
        </w:rPr>
        <w:t>Discuss the professional accountability standard of healthcare workers to patients.</w:t>
      </w:r>
    </w:p>
    <w:p w:rsidR="000F1B88" w:rsidRPr="00624416" w:rsidP="00615385">
      <w:pPr>
        <w:pStyle w:val="ListParagraph"/>
        <w:numPr>
          <w:ilvl w:val="0"/>
          <w:numId w:val="21"/>
        </w:numPr>
        <w:tabs>
          <w:tab w:val="left" w:pos="0"/>
        </w:tabs>
        <w:suppressAutoHyphens/>
        <w:spacing w:after="0" w:line="360" w:lineRule="auto"/>
        <w:jc w:val="both"/>
        <w:rPr>
          <w:szCs w:val="24"/>
        </w:rPr>
      </w:pPr>
      <w:r w:rsidRPr="00624416">
        <w:rPr>
          <w:color w:val="2E2E2E"/>
          <w:szCs w:val="24"/>
        </w:rPr>
        <w:t>Calculate drug dose and intravenous flow rates</w:t>
      </w:r>
    </w:p>
    <w:p w:rsidR="006D3985" w:rsidRPr="00624416" w:rsidP="006D3985">
      <w:pPr>
        <w:rPr>
          <w:b/>
          <w:szCs w:val="24"/>
        </w:rPr>
      </w:pPr>
      <w:r w:rsidRPr="00624416">
        <w:rPr>
          <w:b/>
          <w:szCs w:val="24"/>
        </w:rPr>
        <w:t>Mode of Delivery.</w:t>
      </w:r>
    </w:p>
    <w:p w:rsidR="00A34860" w:rsidP="00A34860">
      <w:pPr>
        <w:spacing w:before="100" w:beforeAutospacing="1" w:after="100" w:afterAutospacing="1" w:line="480" w:lineRule="auto"/>
        <w:ind w:firstLine="720"/>
        <w:contextualSpacing/>
        <w:jc w:val="both"/>
        <w:textAlignment w:val="baseline"/>
        <w:rPr>
          <w:rFonts w:eastAsia="Times New Roman"/>
          <w:szCs w:val="24"/>
        </w:rPr>
      </w:pPr>
      <w:r w:rsidRPr="00624416">
        <w:rPr>
          <w:rFonts w:eastAsia="Times New Roman"/>
          <w:b/>
          <w:szCs w:val="24"/>
        </w:rPr>
        <w:t>Lecture</w:t>
      </w:r>
      <w:r w:rsidRPr="00624416" w:rsidR="007904EA">
        <w:rPr>
          <w:rFonts w:eastAsia="Times New Roman"/>
          <w:b/>
          <w:szCs w:val="24"/>
        </w:rPr>
        <w:t>-</w:t>
      </w:r>
      <w:r w:rsidRPr="00624416">
        <w:rPr>
          <w:rFonts w:eastAsia="Times New Roman"/>
          <w:b/>
          <w:szCs w:val="24"/>
        </w:rPr>
        <w:t xml:space="preserve">Based </w:t>
      </w:r>
      <w:r w:rsidRPr="00624416" w:rsidR="007904EA">
        <w:rPr>
          <w:rFonts w:eastAsia="Times New Roman"/>
          <w:b/>
          <w:szCs w:val="24"/>
        </w:rPr>
        <w:t>Strategy.</w:t>
      </w:r>
      <w:r w:rsidRPr="00624416" w:rsidR="007904EA">
        <w:rPr>
          <w:rFonts w:eastAsia="Times New Roman"/>
          <w:szCs w:val="24"/>
        </w:rPr>
        <w:t xml:space="preserve"> </w:t>
      </w:r>
      <w:r w:rsidR="007904EA">
        <w:rPr>
          <w:rFonts w:eastAsia="Times New Roman"/>
          <w:szCs w:val="24"/>
        </w:rPr>
        <w:t xml:space="preserve"> </w:t>
      </w:r>
    </w:p>
    <w:p w:rsidR="00CB5D9F" w:rsidRPr="00624416" w:rsidP="00A34860">
      <w:pPr>
        <w:spacing w:before="100" w:beforeAutospacing="1" w:after="100" w:afterAutospacing="1" w:line="480" w:lineRule="auto"/>
        <w:ind w:firstLine="720"/>
        <w:contextualSpacing/>
        <w:jc w:val="both"/>
        <w:textAlignment w:val="baseline"/>
        <w:rPr>
          <w:rFonts w:eastAsia="Times New Roman"/>
          <w:szCs w:val="24"/>
        </w:rPr>
      </w:pPr>
      <w:r>
        <w:rPr>
          <w:rFonts w:eastAsia="Times New Roman"/>
          <w:szCs w:val="24"/>
        </w:rPr>
        <w:t xml:space="preserve">Course conveners will </w:t>
      </w:r>
      <w:r w:rsidRPr="00624416" w:rsidR="0081334A">
        <w:rPr>
          <w:rFonts w:eastAsia="Times New Roman"/>
          <w:szCs w:val="24"/>
        </w:rPr>
        <w:t xml:space="preserve">guide students through the course for the first few weeks to help them better understand key concepts in the course </w:t>
      </w:r>
      <w:r w:rsidRPr="00624416" w:rsidR="0080304A">
        <w:rPr>
          <w:rFonts w:eastAsia="Times New Roman"/>
          <w:szCs w:val="24"/>
        </w:rPr>
        <w:t>description.</w:t>
      </w:r>
      <w:r w:rsidRPr="00624416">
        <w:rPr>
          <w:rFonts w:eastAsia="Times New Roman"/>
          <w:szCs w:val="24"/>
        </w:rPr>
        <w:t xml:space="preserve"> To establish a supportive learning environment, the course conveners will, in the first introductory class, explain, elaborate, demonstrate and engage students in the practical realization of the course through face-to-face interactions, virtual interactions, and online classes.</w:t>
      </w:r>
    </w:p>
    <w:p w:rsidR="00CB5D9F" w:rsidRPr="00624416" w:rsidP="00A34860">
      <w:pPr>
        <w:spacing w:before="100" w:beforeAutospacing="1" w:after="100" w:afterAutospacing="1" w:line="480" w:lineRule="auto"/>
        <w:ind w:firstLine="720"/>
        <w:contextualSpacing/>
        <w:jc w:val="both"/>
        <w:textAlignment w:val="baseline"/>
        <w:rPr>
          <w:rFonts w:eastAsia="Times New Roman"/>
          <w:b/>
          <w:szCs w:val="24"/>
        </w:rPr>
      </w:pPr>
      <w:r w:rsidRPr="00624416">
        <w:rPr>
          <w:rFonts w:eastAsia="Times New Roman"/>
          <w:b/>
          <w:szCs w:val="24"/>
        </w:rPr>
        <w:t xml:space="preserve">Group </w:t>
      </w:r>
      <w:r w:rsidRPr="00624416" w:rsidR="007904EA">
        <w:rPr>
          <w:rFonts w:eastAsia="Times New Roman"/>
          <w:b/>
          <w:szCs w:val="24"/>
        </w:rPr>
        <w:t xml:space="preserve">Discussions </w:t>
      </w:r>
      <w:r w:rsidRPr="00624416" w:rsidR="006D0BD1">
        <w:rPr>
          <w:rFonts w:eastAsia="Times New Roman"/>
          <w:b/>
          <w:szCs w:val="24"/>
        </w:rPr>
        <w:t xml:space="preserve">and </w:t>
      </w:r>
      <w:r w:rsidRPr="00624416" w:rsidR="007904EA">
        <w:rPr>
          <w:rFonts w:eastAsia="Times New Roman"/>
          <w:b/>
          <w:szCs w:val="24"/>
        </w:rPr>
        <w:t>Practicals.</w:t>
      </w:r>
    </w:p>
    <w:p w:rsidR="0081334A" w:rsidRPr="00624416" w:rsidP="00A34860">
      <w:pPr>
        <w:spacing w:before="100" w:beforeAutospacing="1" w:after="100" w:afterAutospacing="1" w:line="480" w:lineRule="auto"/>
        <w:ind w:firstLine="720"/>
        <w:contextualSpacing/>
        <w:jc w:val="both"/>
        <w:textAlignment w:val="baseline"/>
        <w:rPr>
          <w:rFonts w:eastAsia="Times New Roman"/>
          <w:szCs w:val="24"/>
        </w:rPr>
      </w:pPr>
      <w:r w:rsidRPr="00624416">
        <w:rPr>
          <w:rFonts w:eastAsia="Times New Roman"/>
          <w:szCs w:val="24"/>
        </w:rPr>
        <w:t>To foster students' participation and engagement, other lecture methods that include more active and participatory components will be considered and incorporated by instructors. This includes group discussions, powerpoint presentations, practicals, and personal reflection assessments</w:t>
      </w:r>
      <w:r w:rsidRPr="00624416" w:rsidR="0080304A">
        <w:rPr>
          <w:rFonts w:eastAsia="Times New Roman"/>
          <w:szCs w:val="24"/>
        </w:rPr>
        <w:t>, all</w:t>
      </w:r>
      <w:r w:rsidRPr="00624416">
        <w:rPr>
          <w:rFonts w:eastAsia="Times New Roman"/>
          <w:szCs w:val="24"/>
        </w:rPr>
        <w:t xml:space="preserve"> of which will be delivered randomly during learning.</w:t>
      </w:r>
    </w:p>
    <w:p w:rsidR="006D3985" w:rsidRPr="00624416" w:rsidP="006D3985">
      <w:pPr>
        <w:rPr>
          <w:b/>
          <w:szCs w:val="24"/>
        </w:rPr>
      </w:pPr>
      <w:r w:rsidRPr="00624416">
        <w:rPr>
          <w:b/>
          <w:szCs w:val="24"/>
        </w:rPr>
        <w:t>Assessment.</w:t>
      </w:r>
    </w:p>
    <w:p w:rsidR="006D3985" w:rsidRPr="00624416" w:rsidP="00624416">
      <w:pPr>
        <w:spacing w:line="480" w:lineRule="auto"/>
        <w:ind w:firstLine="720"/>
        <w:jc w:val="both"/>
        <w:rPr>
          <w:szCs w:val="24"/>
        </w:rPr>
      </w:pPr>
      <w:r w:rsidRPr="00624416">
        <w:rPr>
          <w:szCs w:val="24"/>
        </w:rPr>
        <w:t>Students will be assessed in the following manner</w:t>
      </w:r>
      <w:r w:rsidR="00624416">
        <w:rPr>
          <w:szCs w:val="24"/>
        </w:rPr>
        <w:t xml:space="preserve"> (s) </w:t>
      </w:r>
      <w:r w:rsidRPr="00624416">
        <w:rPr>
          <w:szCs w:val="24"/>
        </w:rPr>
        <w:t>;</w:t>
      </w:r>
    </w:p>
    <w:p w:rsidR="006D3985" w:rsidRPr="00624416" w:rsidP="00624416">
      <w:pPr>
        <w:spacing w:line="480" w:lineRule="auto"/>
        <w:ind w:firstLine="720"/>
        <w:jc w:val="both"/>
        <w:rPr>
          <w:szCs w:val="24"/>
        </w:rPr>
      </w:pPr>
      <w:r w:rsidRPr="00624416">
        <w:rPr>
          <w:szCs w:val="24"/>
        </w:rPr>
        <w:t>A continuous assessment test (CAT) weighs 30% of the final grade.</w:t>
      </w:r>
      <w:r w:rsidRPr="00624416" w:rsidR="0081334A">
        <w:rPr>
          <w:szCs w:val="24"/>
        </w:rPr>
        <w:t xml:space="preserve"> This will be administered through virtual platforms such as Canvas, google classroom, and the school E-learning Sites.</w:t>
      </w:r>
    </w:p>
    <w:p w:rsidR="0080304A" w:rsidRPr="00624416" w:rsidP="00624416">
      <w:pPr>
        <w:spacing w:line="480" w:lineRule="auto"/>
        <w:ind w:firstLine="720"/>
        <w:jc w:val="both"/>
        <w:rPr>
          <w:szCs w:val="24"/>
        </w:rPr>
      </w:pPr>
      <w:r w:rsidRPr="00624416">
        <w:rPr>
          <w:szCs w:val="24"/>
        </w:rPr>
        <w:t>Group discussions and personal reflections will all contribute a total of 20% of the final grade scored.</w:t>
      </w:r>
      <w:r w:rsidRPr="00624416" w:rsidR="00711AE4">
        <w:rPr>
          <w:szCs w:val="24"/>
        </w:rPr>
        <w:t xml:space="preserve"> During the fourth week of learning, students will be placed in groups they will use during their clinical internships and externship programs.</w:t>
      </w:r>
      <w:r w:rsidRPr="00624416" w:rsidR="003F1055">
        <w:rPr>
          <w:szCs w:val="24"/>
        </w:rPr>
        <w:t xml:space="preserve"> Students will get assigned some course instructors who will guide them as they undertake the two programs. Upon completion of the programs, </w:t>
      </w:r>
      <w:r w:rsidRPr="00624416" w:rsidR="003F1055">
        <w:rPr>
          <w:szCs w:val="24"/>
        </w:rPr>
        <w:t>students are expected to submit a report of their experiences in the practical programs. The report will be marked and marks granted on competency, realism, participation, and accuracy criterion. This will contribute 10% of the final grade scored.</w:t>
      </w:r>
    </w:p>
    <w:p w:rsidR="006D3985" w:rsidRPr="00624416" w:rsidP="00624416">
      <w:pPr>
        <w:spacing w:line="480" w:lineRule="auto"/>
        <w:ind w:firstLine="720"/>
        <w:jc w:val="both"/>
        <w:rPr>
          <w:szCs w:val="24"/>
        </w:rPr>
      </w:pPr>
      <w:r w:rsidRPr="00624416">
        <w:rPr>
          <w:szCs w:val="24"/>
        </w:rPr>
        <w:t>At the end of the course, students will sit for an open</w:t>
      </w:r>
      <w:r w:rsidRPr="00624416" w:rsidR="00711AE4">
        <w:rPr>
          <w:szCs w:val="24"/>
        </w:rPr>
        <w:t xml:space="preserve"> book examination which weighs 4</w:t>
      </w:r>
      <w:r w:rsidRPr="00624416">
        <w:rPr>
          <w:szCs w:val="24"/>
        </w:rPr>
        <w:t xml:space="preserve">0% of the final grade. Students will be expected to correctly state their answers in an essay examination free from spelling and grammar mistakes. </w:t>
      </w:r>
      <w:r w:rsidRPr="00624416" w:rsidR="00711AE4">
        <w:rPr>
          <w:szCs w:val="24"/>
        </w:rPr>
        <w:t xml:space="preserve">The </w:t>
      </w:r>
      <w:r w:rsidRPr="00624416">
        <w:rPr>
          <w:szCs w:val="24"/>
        </w:rPr>
        <w:t>answers must be well organized, systematically moving from each point w</w:t>
      </w:r>
      <w:r w:rsidRPr="00624416">
        <w:rPr>
          <w:szCs w:val="24"/>
        </w:rPr>
        <w:t xml:space="preserve">hile showing their </w:t>
      </w:r>
      <w:r w:rsidRPr="00624416">
        <w:rPr>
          <w:szCs w:val="24"/>
        </w:rPr>
        <w:t>knowledge and understanding</w:t>
      </w:r>
      <w:r w:rsidRPr="00624416">
        <w:rPr>
          <w:szCs w:val="24"/>
        </w:rPr>
        <w:t xml:space="preserve"> of the course. The timeframe for completing the examination will be stated in the test. All school guidelines must be adhered to. This includes providing original work in all assessments. The school will avail </w:t>
      </w:r>
      <w:r w:rsidRPr="00624416">
        <w:rPr>
          <w:szCs w:val="24"/>
        </w:rPr>
        <w:t>of class materials</w:t>
      </w:r>
      <w:r w:rsidRPr="00624416">
        <w:rPr>
          <w:szCs w:val="24"/>
        </w:rPr>
        <w:t xml:space="preserve"> for</w:t>
      </w:r>
      <w:r w:rsidRPr="00624416">
        <w:rPr>
          <w:szCs w:val="24"/>
        </w:rPr>
        <w:t xml:space="preserve"> reference</w:t>
      </w:r>
      <w:r w:rsidRPr="00624416" w:rsidR="00711AE4">
        <w:rPr>
          <w:szCs w:val="24"/>
        </w:rPr>
        <w:t xml:space="preserve"> purposes. </w:t>
      </w:r>
      <w:r w:rsidRPr="00624416">
        <w:rPr>
          <w:szCs w:val="24"/>
        </w:rPr>
        <w:t xml:space="preserve">The course conveners will grant the students </w:t>
      </w:r>
      <w:r w:rsidRPr="00624416">
        <w:rPr>
          <w:szCs w:val="24"/>
        </w:rPr>
        <w:t xml:space="preserve">enough time </w:t>
      </w:r>
      <w:r w:rsidRPr="00624416">
        <w:rPr>
          <w:szCs w:val="24"/>
        </w:rPr>
        <w:t xml:space="preserve">proportional to the assessments to enable them </w:t>
      </w:r>
      <w:r w:rsidRPr="00624416">
        <w:rPr>
          <w:szCs w:val="24"/>
        </w:rPr>
        <w:t xml:space="preserve">to develop </w:t>
      </w:r>
      <w:r w:rsidRPr="00624416">
        <w:rPr>
          <w:szCs w:val="24"/>
        </w:rPr>
        <w:t>quality work.</w:t>
      </w:r>
      <w:r w:rsidRPr="00624416" w:rsidR="00711AE4">
        <w:rPr>
          <w:szCs w:val="24"/>
        </w:rPr>
        <w:t xml:space="preserve"> </w:t>
      </w:r>
      <w:r w:rsidRPr="00624416" w:rsidR="004B2728">
        <w:rPr>
          <w:szCs w:val="24"/>
        </w:rPr>
        <w:t xml:space="preserve">Students are required to refer to </w:t>
      </w:r>
      <w:r w:rsidRPr="00624416">
        <w:rPr>
          <w:szCs w:val="24"/>
        </w:rPr>
        <w:t xml:space="preserve">the Academic </w:t>
      </w:r>
      <w:r w:rsidRPr="00624416" w:rsidR="004B2728">
        <w:rPr>
          <w:szCs w:val="24"/>
        </w:rPr>
        <w:t>Dishonesty Policy to avoid deductions of grades.</w:t>
      </w:r>
      <w:r w:rsidRPr="00624416" w:rsidR="00711AE4">
        <w:rPr>
          <w:szCs w:val="24"/>
        </w:rPr>
        <w:t xml:space="preserve"> </w:t>
      </w:r>
      <w:r w:rsidRPr="00624416" w:rsidR="00B74059">
        <w:rPr>
          <w:szCs w:val="24"/>
        </w:rPr>
        <w:t>Citations and References:</w:t>
      </w:r>
      <w:r w:rsidRPr="00624416" w:rsidR="00711AE4">
        <w:rPr>
          <w:szCs w:val="24"/>
        </w:rPr>
        <w:t xml:space="preserve"> </w:t>
      </w:r>
      <w:r w:rsidRPr="00624416" w:rsidR="00B74059">
        <w:rPr>
          <w:szCs w:val="24"/>
        </w:rPr>
        <w:t>APA</w:t>
      </w:r>
      <w:r w:rsidRPr="00624416">
        <w:rPr>
          <w:szCs w:val="24"/>
        </w:rPr>
        <w:t xml:space="preserve"> format must be used for citing, quoting, referencing, and the materials for </w:t>
      </w:r>
      <w:r w:rsidRPr="00624416" w:rsidR="00B74059">
        <w:rPr>
          <w:szCs w:val="24"/>
        </w:rPr>
        <w:t>all</w:t>
      </w:r>
      <w:r w:rsidRPr="00624416" w:rsidR="00711AE4">
        <w:rPr>
          <w:szCs w:val="24"/>
        </w:rPr>
        <w:t xml:space="preserve"> </w:t>
      </w:r>
      <w:r w:rsidRPr="00624416">
        <w:rPr>
          <w:szCs w:val="24"/>
        </w:rPr>
        <w:t>exa</w:t>
      </w:r>
      <w:r w:rsidRPr="00624416" w:rsidR="00711AE4">
        <w:rPr>
          <w:szCs w:val="24"/>
        </w:rPr>
        <w:t xml:space="preserve">minations. </w:t>
      </w:r>
      <w:r w:rsidRPr="00624416">
        <w:rPr>
          <w:szCs w:val="24"/>
        </w:rPr>
        <w:t>The exam</w:t>
      </w:r>
      <w:r w:rsidRPr="00624416" w:rsidR="00B74059">
        <w:rPr>
          <w:szCs w:val="24"/>
        </w:rPr>
        <w:t>s</w:t>
      </w:r>
      <w:r w:rsidRPr="00624416">
        <w:rPr>
          <w:szCs w:val="24"/>
        </w:rPr>
        <w:t xml:space="preserve"> must be </w:t>
      </w:r>
      <w:r w:rsidRPr="00624416" w:rsidR="00B74059">
        <w:rPr>
          <w:szCs w:val="24"/>
        </w:rPr>
        <w:t xml:space="preserve">timely </w:t>
      </w:r>
      <w:r w:rsidRPr="00624416">
        <w:rPr>
          <w:szCs w:val="24"/>
        </w:rPr>
        <w:t>submitted in Canvas as a word document.</w:t>
      </w:r>
    </w:p>
    <w:p w:rsidR="00B74059" w:rsidRPr="00624416" w:rsidP="00624416">
      <w:pPr>
        <w:spacing w:line="480" w:lineRule="auto"/>
        <w:ind w:firstLine="720"/>
        <w:jc w:val="both"/>
        <w:rPr>
          <w:szCs w:val="24"/>
        </w:rPr>
      </w:pPr>
      <w:r w:rsidRPr="00624416">
        <w:rPr>
          <w:szCs w:val="24"/>
        </w:rPr>
        <w:t xml:space="preserve">Any </w:t>
      </w:r>
      <w:r w:rsidRPr="00624416">
        <w:rPr>
          <w:szCs w:val="24"/>
        </w:rPr>
        <w:t>assistance as regards the course can also be sought via Email.</w:t>
      </w:r>
    </w:p>
    <w:p w:rsidR="00511872" w:rsidRPr="00624416" w:rsidP="00575403">
      <w:pPr>
        <w:tabs>
          <w:tab w:val="left" w:pos="1935"/>
        </w:tabs>
        <w:suppressAutoHyphens/>
        <w:spacing w:after="0" w:line="360" w:lineRule="auto"/>
        <w:jc w:val="both"/>
        <w:rPr>
          <w:b/>
          <w:szCs w:val="24"/>
        </w:rPr>
      </w:pPr>
      <w:r w:rsidRPr="00624416">
        <w:rPr>
          <w:b/>
          <w:szCs w:val="24"/>
        </w:rPr>
        <w:t>Core Reading Recommendations.</w:t>
      </w:r>
    </w:p>
    <w:p w:rsidR="00E44F67"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Bourbonnais, F. F., &amp; Caswell, W. (2014). Teaching successful medication administration today: More than just knowing your ‘rights’. </w:t>
      </w:r>
      <w:r w:rsidRPr="00624416">
        <w:rPr>
          <w:i/>
          <w:iCs/>
          <w:color w:val="222222"/>
          <w:szCs w:val="24"/>
          <w:shd w:val="clear" w:color="auto" w:fill="FFFFFF"/>
        </w:rPr>
        <w:t>Nurse Education in Practice</w:t>
      </w:r>
      <w:r w:rsidRPr="00624416">
        <w:rPr>
          <w:color w:val="222222"/>
          <w:szCs w:val="24"/>
          <w:shd w:val="clear" w:color="auto" w:fill="FFFFFF"/>
        </w:rPr>
        <w:t>, </w:t>
      </w:r>
      <w:r w:rsidRPr="00624416">
        <w:rPr>
          <w:i/>
          <w:iCs/>
          <w:color w:val="222222"/>
          <w:szCs w:val="24"/>
          <w:shd w:val="clear" w:color="auto" w:fill="FFFFFF"/>
        </w:rPr>
        <w:t>14</w:t>
      </w:r>
      <w:r w:rsidRPr="00624416">
        <w:rPr>
          <w:color w:val="222222"/>
          <w:szCs w:val="24"/>
          <w:shd w:val="clear" w:color="auto" w:fill="FFFFFF"/>
        </w:rPr>
        <w:t xml:space="preserve">(4), 391-395. DOI </w:t>
      </w:r>
      <w:hyperlink r:id="rId4" w:tgtFrame="_blank" w:tooltip="Persistent link using digital object identifier" w:history="1">
        <w:r w:rsidRPr="00624416">
          <w:rPr>
            <w:rStyle w:val="Hyperlink"/>
            <w:color w:val="0C7DBB"/>
            <w:szCs w:val="24"/>
          </w:rPr>
          <w:t>https://doi.org/10.1016/j.nepr.2014.03.003</w:t>
        </w:r>
      </w:hyperlink>
      <w:r w:rsidRPr="00624416">
        <w:rPr>
          <w:color w:val="222222"/>
          <w:szCs w:val="24"/>
          <w:shd w:val="clear" w:color="auto" w:fill="FFFFFF"/>
        </w:rPr>
        <w:t xml:space="preserve"> </w:t>
      </w:r>
    </w:p>
    <w:p w:rsidR="00711AE4"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Craig, S. J., Kastello, J. C., Cieslowski, B. J., &amp; Rovnyak, V. (2021). Simulation strategies to increase nursing student clinical competence in safe medication administration practices: A quasi-experimental study. </w:t>
      </w:r>
      <w:r w:rsidRPr="00624416">
        <w:rPr>
          <w:i/>
          <w:iCs/>
          <w:color w:val="222222"/>
          <w:szCs w:val="24"/>
          <w:shd w:val="clear" w:color="auto" w:fill="FFFFFF"/>
        </w:rPr>
        <w:t>Nurse Education Today</w:t>
      </w:r>
      <w:r w:rsidRPr="00624416">
        <w:rPr>
          <w:color w:val="222222"/>
          <w:szCs w:val="24"/>
          <w:shd w:val="clear" w:color="auto" w:fill="FFFFFF"/>
        </w:rPr>
        <w:t>, </w:t>
      </w:r>
      <w:r w:rsidRPr="00624416">
        <w:rPr>
          <w:i/>
          <w:iCs/>
          <w:color w:val="222222"/>
          <w:szCs w:val="24"/>
          <w:shd w:val="clear" w:color="auto" w:fill="FFFFFF"/>
        </w:rPr>
        <w:t>96</w:t>
      </w:r>
      <w:r w:rsidRPr="00624416">
        <w:rPr>
          <w:color w:val="222222"/>
          <w:szCs w:val="24"/>
          <w:shd w:val="clear" w:color="auto" w:fill="FFFFFF"/>
        </w:rPr>
        <w:t>, 104605.</w:t>
      </w:r>
      <w:r w:rsidRPr="00624416">
        <w:rPr>
          <w:szCs w:val="24"/>
        </w:rPr>
        <w:t xml:space="preserve"> </w:t>
      </w:r>
      <w:hyperlink r:id="rId5" w:tgtFrame="_blank" w:tooltip="Persistent link using digital object identifier" w:history="1">
        <w:r w:rsidRPr="00624416">
          <w:rPr>
            <w:rStyle w:val="Hyperlink"/>
            <w:color w:val="0C7DBB"/>
            <w:szCs w:val="24"/>
          </w:rPr>
          <w:t>https://doi.org/10.1016/j.nedt.2020.104605</w:t>
        </w:r>
      </w:hyperlink>
      <w:r w:rsidRPr="00624416">
        <w:rPr>
          <w:color w:val="222222"/>
          <w:szCs w:val="24"/>
          <w:shd w:val="clear" w:color="auto" w:fill="FFFFFF"/>
        </w:rPr>
        <w:t xml:space="preserve"> </w:t>
      </w:r>
    </w:p>
    <w:p w:rsidR="00346033"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Harding, L., &amp; Petrick, T. (2008). Nursing student medication errors: a retrospective review. </w:t>
      </w:r>
      <w:r w:rsidRPr="00624416">
        <w:rPr>
          <w:i/>
          <w:iCs/>
          <w:color w:val="222222"/>
          <w:szCs w:val="24"/>
          <w:shd w:val="clear" w:color="auto" w:fill="FFFFFF"/>
        </w:rPr>
        <w:t>Journal of Nursing Education</w:t>
      </w:r>
      <w:r w:rsidRPr="00624416">
        <w:rPr>
          <w:color w:val="222222"/>
          <w:szCs w:val="24"/>
          <w:shd w:val="clear" w:color="auto" w:fill="FFFFFF"/>
        </w:rPr>
        <w:t>, </w:t>
      </w:r>
      <w:r w:rsidRPr="00624416">
        <w:rPr>
          <w:i/>
          <w:iCs/>
          <w:color w:val="222222"/>
          <w:szCs w:val="24"/>
          <w:shd w:val="clear" w:color="auto" w:fill="FFFFFF"/>
        </w:rPr>
        <w:t>47</w:t>
      </w:r>
      <w:r w:rsidRPr="00624416">
        <w:rPr>
          <w:color w:val="222222"/>
          <w:szCs w:val="24"/>
          <w:shd w:val="clear" w:color="auto" w:fill="FFFFFF"/>
        </w:rPr>
        <w:t>(1), 43-47.</w:t>
      </w:r>
      <w:r w:rsidR="00F360EC">
        <w:rPr>
          <w:color w:val="222222"/>
          <w:szCs w:val="24"/>
          <w:shd w:val="clear" w:color="auto" w:fill="FFFFFF"/>
        </w:rPr>
        <w:t xml:space="preserve"> </w:t>
      </w:r>
      <w:r w:rsidRPr="00624416">
        <w:rPr>
          <w:color w:val="222222"/>
          <w:szCs w:val="24"/>
          <w:shd w:val="clear" w:color="auto" w:fill="FFFFFF"/>
        </w:rPr>
        <w:t xml:space="preserve">DOI </w:t>
      </w:r>
      <w:hyperlink r:id="rId6" w:history="1">
        <w:r w:rsidRPr="00624416">
          <w:rPr>
            <w:rStyle w:val="Hyperlink"/>
            <w:szCs w:val="24"/>
            <w:shd w:val="clear" w:color="auto" w:fill="FFFFFF"/>
          </w:rPr>
          <w:t>https://doi.org/10.1016/j.nedt.2018.12.006</w:t>
        </w:r>
      </w:hyperlink>
    </w:p>
    <w:p w:rsid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Jarvill, M., Jenkins, S., Akman, O., Astroth, K. S., Pohl, C., &amp; Jacobs, P. J. (2018). Effect of simulation on nursing students' medication administration competence. </w:t>
      </w:r>
      <w:r w:rsidRPr="00624416">
        <w:rPr>
          <w:i/>
          <w:iCs/>
          <w:color w:val="222222"/>
          <w:szCs w:val="24"/>
          <w:shd w:val="clear" w:color="auto" w:fill="FFFFFF"/>
        </w:rPr>
        <w:t>Clinical simulation in Nursing</w:t>
      </w:r>
      <w:r w:rsidRPr="00624416">
        <w:rPr>
          <w:color w:val="222222"/>
          <w:szCs w:val="24"/>
          <w:shd w:val="clear" w:color="auto" w:fill="FFFFFF"/>
        </w:rPr>
        <w:t>, </w:t>
      </w:r>
      <w:r w:rsidRPr="00624416">
        <w:rPr>
          <w:i/>
          <w:iCs/>
          <w:color w:val="222222"/>
          <w:szCs w:val="24"/>
          <w:shd w:val="clear" w:color="auto" w:fill="FFFFFF"/>
        </w:rPr>
        <w:t>14</w:t>
      </w:r>
      <w:r w:rsidRPr="00624416">
        <w:rPr>
          <w:color w:val="222222"/>
          <w:szCs w:val="24"/>
          <w:shd w:val="clear" w:color="auto" w:fill="FFFFFF"/>
        </w:rPr>
        <w:t xml:space="preserve">, 3-7. DOI </w:t>
      </w:r>
      <w:hyperlink r:id="rId7" w:history="1">
        <w:r w:rsidRPr="001A62CC">
          <w:rPr>
            <w:rStyle w:val="Hyperlink"/>
            <w:szCs w:val="24"/>
          </w:rPr>
          <w:t>https://doi.org/10.1016/j.ecns.2017.08.001</w:t>
        </w:r>
      </w:hyperlink>
    </w:p>
    <w:p w:rsidR="00346033" w:rsidRPr="00624416" w:rsidP="00624416">
      <w:pPr>
        <w:tabs>
          <w:tab w:val="left" w:pos="1935"/>
        </w:tabs>
        <w:suppressAutoHyphens/>
        <w:spacing w:after="0" w:line="480" w:lineRule="auto"/>
        <w:ind w:left="1930" w:hanging="1930"/>
        <w:rPr>
          <w:szCs w:val="24"/>
        </w:rPr>
      </w:pPr>
      <w:r w:rsidRPr="00624416">
        <w:rPr>
          <w:color w:val="222222"/>
          <w:szCs w:val="24"/>
          <w:shd w:val="clear" w:color="auto" w:fill="FFFFFF"/>
        </w:rPr>
        <w:t>Lee, S. E., &amp; Quinn, B. L. (2019). Incorporating medication administration safety in undergraduate nursing education: A literature review. </w:t>
      </w:r>
      <w:r w:rsidRPr="00624416">
        <w:rPr>
          <w:i/>
          <w:iCs/>
          <w:color w:val="222222"/>
          <w:szCs w:val="24"/>
          <w:shd w:val="clear" w:color="auto" w:fill="FFFFFF"/>
        </w:rPr>
        <w:t>Nurse education today</w:t>
      </w:r>
      <w:r w:rsidRPr="00624416">
        <w:rPr>
          <w:color w:val="222222"/>
          <w:szCs w:val="24"/>
          <w:shd w:val="clear" w:color="auto" w:fill="FFFFFF"/>
        </w:rPr>
        <w:t>, </w:t>
      </w:r>
      <w:r w:rsidRPr="00624416">
        <w:rPr>
          <w:i/>
          <w:iCs/>
          <w:color w:val="222222"/>
          <w:szCs w:val="24"/>
          <w:shd w:val="clear" w:color="auto" w:fill="FFFFFF"/>
        </w:rPr>
        <w:t>72</w:t>
      </w:r>
      <w:r w:rsidRPr="00624416">
        <w:rPr>
          <w:color w:val="222222"/>
          <w:szCs w:val="24"/>
          <w:shd w:val="clear" w:color="auto" w:fill="FFFFFF"/>
        </w:rPr>
        <w:t xml:space="preserve">, 77-83. DOI </w:t>
      </w:r>
      <w:hyperlink r:id="rId8" w:history="1">
        <w:r w:rsidRPr="00624416">
          <w:rPr>
            <w:rStyle w:val="Hyperlink"/>
            <w:szCs w:val="24"/>
            <w:shd w:val="clear" w:color="auto" w:fill="FFFFFF"/>
          </w:rPr>
          <w:t>https://doi.org/10.1016/j.nedt.2018.11.004</w:t>
        </w:r>
      </w:hyperlink>
    </w:p>
    <w:p w:rsidR="004C4A8E"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Preston, P., Leone-Sheehan, D., &amp; Keys, B. (2019). Nursing student perceptions of pharmacology education and safe medication administration: A qualitative research study. </w:t>
      </w:r>
      <w:r w:rsidRPr="00624416">
        <w:rPr>
          <w:i/>
          <w:iCs/>
          <w:color w:val="222222"/>
          <w:szCs w:val="24"/>
          <w:shd w:val="clear" w:color="auto" w:fill="FFFFFF"/>
        </w:rPr>
        <w:t>Nurse Education Today</w:t>
      </w:r>
      <w:r w:rsidRPr="00624416">
        <w:rPr>
          <w:color w:val="222222"/>
          <w:szCs w:val="24"/>
          <w:shd w:val="clear" w:color="auto" w:fill="FFFFFF"/>
        </w:rPr>
        <w:t>, </w:t>
      </w:r>
      <w:r w:rsidRPr="00624416">
        <w:rPr>
          <w:i/>
          <w:iCs/>
          <w:color w:val="222222"/>
          <w:szCs w:val="24"/>
          <w:shd w:val="clear" w:color="auto" w:fill="FFFFFF"/>
        </w:rPr>
        <w:t>74</w:t>
      </w:r>
      <w:r w:rsidRPr="00624416">
        <w:rPr>
          <w:color w:val="222222"/>
          <w:szCs w:val="24"/>
          <w:shd w:val="clear" w:color="auto" w:fill="FFFFFF"/>
        </w:rPr>
        <w:t xml:space="preserve">, 76-81. DOI </w:t>
      </w:r>
      <w:hyperlink r:id="rId6" w:history="1">
        <w:r w:rsidRPr="00624416">
          <w:rPr>
            <w:rStyle w:val="Hyperlink"/>
            <w:szCs w:val="24"/>
            <w:shd w:val="clear" w:color="auto" w:fill="FFFFFF"/>
          </w:rPr>
          <w:t>https://doi.org/10.1016/j.nedt.2018.12.006</w:t>
        </w:r>
      </w:hyperlink>
    </w:p>
    <w:p w:rsidR="00BD46D1"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Rohde, E., &amp; Domm, E. (2018). Nurses’ clinical reasoning practices that support safe medication administration: An integrative review of the literature. </w:t>
      </w:r>
      <w:r w:rsidRPr="00624416">
        <w:rPr>
          <w:i/>
          <w:iCs/>
          <w:color w:val="222222"/>
          <w:szCs w:val="24"/>
          <w:shd w:val="clear" w:color="auto" w:fill="FFFFFF"/>
        </w:rPr>
        <w:t>Journal of clinical nursing</w:t>
      </w:r>
      <w:r w:rsidRPr="00624416">
        <w:rPr>
          <w:color w:val="222222"/>
          <w:szCs w:val="24"/>
          <w:shd w:val="clear" w:color="auto" w:fill="FFFFFF"/>
        </w:rPr>
        <w:t>, </w:t>
      </w:r>
      <w:r w:rsidRPr="00624416">
        <w:rPr>
          <w:i/>
          <w:iCs/>
          <w:color w:val="222222"/>
          <w:szCs w:val="24"/>
          <w:shd w:val="clear" w:color="auto" w:fill="FFFFFF"/>
        </w:rPr>
        <w:t>27</w:t>
      </w:r>
      <w:r w:rsidRPr="00624416">
        <w:rPr>
          <w:color w:val="222222"/>
          <w:szCs w:val="24"/>
          <w:shd w:val="clear" w:color="auto" w:fill="FFFFFF"/>
        </w:rPr>
        <w:t xml:space="preserve">(3-4), e402-e411. DOI </w:t>
      </w:r>
      <w:hyperlink r:id="rId9" w:history="1">
        <w:r w:rsidRPr="00624416">
          <w:rPr>
            <w:rStyle w:val="Hyperlink"/>
            <w:szCs w:val="24"/>
            <w:shd w:val="clear" w:color="auto" w:fill="FFFFFF"/>
          </w:rPr>
          <w:t>https://doi.org/10.1111/jocn.14077</w:t>
        </w:r>
      </w:hyperlink>
    </w:p>
    <w:p w:rsidR="005A5D15" w:rsidRPr="00624416" w:rsidP="00624416">
      <w:pPr>
        <w:tabs>
          <w:tab w:val="left" w:pos="1935"/>
        </w:tabs>
        <w:suppressAutoHyphens/>
        <w:spacing w:after="0" w:line="480" w:lineRule="auto"/>
        <w:ind w:left="1930" w:hanging="1930"/>
        <w:rPr>
          <w:szCs w:val="24"/>
        </w:rPr>
      </w:pPr>
      <w:r w:rsidRPr="00624416">
        <w:rPr>
          <w:color w:val="222222"/>
          <w:szCs w:val="24"/>
          <w:shd w:val="clear" w:color="auto" w:fill="FFFFFF"/>
        </w:rPr>
        <w:t>Thomas, C. M., McIntosh, C. E., &amp; Allen, R. (2014). Creating a distraction simulation for safe medication administration. </w:t>
      </w:r>
      <w:r w:rsidRPr="00624416">
        <w:rPr>
          <w:i/>
          <w:iCs/>
          <w:color w:val="222222"/>
          <w:szCs w:val="24"/>
          <w:shd w:val="clear" w:color="auto" w:fill="FFFFFF"/>
        </w:rPr>
        <w:t>Clinical Simulation in Nursing</w:t>
      </w:r>
      <w:r w:rsidRPr="00624416">
        <w:rPr>
          <w:color w:val="222222"/>
          <w:szCs w:val="24"/>
          <w:shd w:val="clear" w:color="auto" w:fill="FFFFFF"/>
        </w:rPr>
        <w:t>, </w:t>
      </w:r>
      <w:r w:rsidRPr="00624416">
        <w:rPr>
          <w:i/>
          <w:iCs/>
          <w:color w:val="222222"/>
          <w:szCs w:val="24"/>
          <w:shd w:val="clear" w:color="auto" w:fill="FFFFFF"/>
        </w:rPr>
        <w:t>10</w:t>
      </w:r>
      <w:r w:rsidRPr="00624416">
        <w:rPr>
          <w:color w:val="222222"/>
          <w:szCs w:val="24"/>
          <w:shd w:val="clear" w:color="auto" w:fill="FFFFFF"/>
        </w:rPr>
        <w:t xml:space="preserve">(8), 406-411. DOI </w:t>
      </w:r>
      <w:hyperlink r:id="rId10" w:tgtFrame="_blank" w:tooltip="Persistent link using digital object identifier" w:history="1">
        <w:r w:rsidRPr="00624416">
          <w:rPr>
            <w:rStyle w:val="Hyperlink"/>
            <w:color w:val="0C7DBB"/>
            <w:szCs w:val="24"/>
          </w:rPr>
          <w:t>https://doi.org/10.1016/j.ecns.2014.03.004</w:t>
        </w:r>
      </w:hyperlink>
    </w:p>
    <w:p w:rsidR="005A5D15" w:rsidRPr="00624416" w:rsidP="00624416">
      <w:pPr>
        <w:tabs>
          <w:tab w:val="left" w:pos="1935"/>
        </w:tabs>
        <w:suppressAutoHyphens/>
        <w:spacing w:after="0" w:line="480" w:lineRule="auto"/>
        <w:ind w:left="1930" w:hanging="1930"/>
        <w:rPr>
          <w:color w:val="222222"/>
          <w:szCs w:val="24"/>
          <w:shd w:val="clear" w:color="auto" w:fill="FFFFFF"/>
        </w:rPr>
      </w:pPr>
      <w:r w:rsidRPr="00624416">
        <w:rPr>
          <w:color w:val="222222"/>
          <w:szCs w:val="24"/>
          <w:shd w:val="clear" w:color="auto" w:fill="FFFFFF"/>
        </w:rPr>
        <w:t>Wolf, Z. R., Hicks, R., &amp; Serembus, J. F. (2006). Characteristics of medication errors made by students during the administration phase: a descriptive study. </w:t>
      </w:r>
      <w:r w:rsidRPr="00624416">
        <w:rPr>
          <w:i/>
          <w:iCs/>
          <w:color w:val="222222"/>
          <w:szCs w:val="24"/>
          <w:shd w:val="clear" w:color="auto" w:fill="FFFFFF"/>
        </w:rPr>
        <w:t>Journal of Professional Nursing</w:t>
      </w:r>
      <w:r w:rsidRPr="00624416">
        <w:rPr>
          <w:color w:val="222222"/>
          <w:szCs w:val="24"/>
          <w:shd w:val="clear" w:color="auto" w:fill="FFFFFF"/>
        </w:rPr>
        <w:t>, </w:t>
      </w:r>
      <w:r w:rsidRPr="00624416">
        <w:rPr>
          <w:i/>
          <w:iCs/>
          <w:color w:val="222222"/>
          <w:szCs w:val="24"/>
          <w:shd w:val="clear" w:color="auto" w:fill="FFFFFF"/>
        </w:rPr>
        <w:t>22</w:t>
      </w:r>
      <w:r w:rsidRPr="00624416">
        <w:rPr>
          <w:color w:val="222222"/>
          <w:szCs w:val="24"/>
          <w:shd w:val="clear" w:color="auto" w:fill="FFFFFF"/>
        </w:rPr>
        <w:t xml:space="preserve">(1), 39-51. DOI </w:t>
      </w:r>
      <w:hyperlink r:id="rId11" w:tgtFrame="_blank" w:tooltip="Persistent link using digital object identifier" w:history="1">
        <w:r w:rsidRPr="00624416">
          <w:rPr>
            <w:rStyle w:val="Hyperlink"/>
            <w:color w:val="0C7DBB"/>
            <w:szCs w:val="24"/>
          </w:rPr>
          <w:t>https://doi.org/10.1016/j.profnurs.2005.12.008</w:t>
        </w:r>
      </w:hyperlink>
    </w:p>
    <w:p w:rsidR="00BD46D1" w:rsidRPr="00624416" w:rsidP="00575403">
      <w:pPr>
        <w:tabs>
          <w:tab w:val="left" w:pos="1935"/>
        </w:tabs>
        <w:suppressAutoHyphens/>
        <w:spacing w:after="0" w:line="360" w:lineRule="auto"/>
        <w:jc w:val="both"/>
        <w:rPr>
          <w:color w:val="222222"/>
          <w:szCs w:val="24"/>
          <w:shd w:val="clear" w:color="auto" w:fill="FFFFFF"/>
        </w:rPr>
      </w:pPr>
    </w:p>
    <w:p w:rsidR="00346033" w:rsidRPr="00624416" w:rsidP="00575403">
      <w:pPr>
        <w:tabs>
          <w:tab w:val="left" w:pos="1935"/>
        </w:tabs>
        <w:suppressAutoHyphens/>
        <w:spacing w:after="0" w:line="360" w:lineRule="auto"/>
        <w:jc w:val="both"/>
        <w:rPr>
          <w:b/>
          <w:szCs w:val="24"/>
        </w:rPr>
      </w:pPr>
    </w:p>
    <w:p w:rsidR="004C4A8E" w:rsidRPr="00624416" w:rsidP="00575403">
      <w:pPr>
        <w:tabs>
          <w:tab w:val="left" w:pos="1935"/>
        </w:tabs>
        <w:suppressAutoHyphens/>
        <w:spacing w:after="0" w:line="360" w:lineRule="auto"/>
        <w:jc w:val="both"/>
        <w:rPr>
          <w:b/>
          <w:bCs/>
          <w:szCs w:val="24"/>
        </w:rPr>
      </w:pPr>
    </w:p>
    <w:p w:rsidR="00CB18C7" w:rsidRPr="00624416" w:rsidP="00CB18C7">
      <w:pPr>
        <w:pStyle w:val="Heading3"/>
        <w:shd w:val="clear" w:color="auto" w:fill="FFFFFF"/>
        <w:spacing w:before="308" w:after="154" w:line="300" w:lineRule="atLeast"/>
        <w:rPr>
          <w:rFonts w:ascii="Times New Roman" w:hAnsi="Times New Roman" w:cs="Times New Roman"/>
          <w:color w:val="auto"/>
          <w:szCs w:val="24"/>
        </w:rPr>
      </w:pPr>
    </w:p>
    <w:p w:rsidR="007A4B2F" w:rsidRPr="00624416" w:rsidP="00CB18C7">
      <w:pPr>
        <w:tabs>
          <w:tab w:val="left" w:pos="1935"/>
        </w:tabs>
        <w:suppressAutoHyphens/>
        <w:spacing w:after="0" w:line="360" w:lineRule="auto"/>
        <w:jc w:val="both"/>
        <w:rPr>
          <w:szCs w:val="24"/>
        </w:rPr>
      </w:pPr>
    </w:p>
    <w:p w:rsidR="007A4B2F" w:rsidRPr="00624416" w:rsidP="007A4B2F">
      <w:pPr>
        <w:tabs>
          <w:tab w:val="left" w:pos="0"/>
        </w:tabs>
        <w:suppressAutoHyphens/>
        <w:spacing w:after="0" w:line="360" w:lineRule="auto"/>
        <w:jc w:val="both"/>
        <w:rPr>
          <w:szCs w:val="24"/>
        </w:rPr>
      </w:pPr>
    </w:p>
    <w:sectPr w:rsidSect="00B226E3">
      <w:headerReference w:type="default"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490244"/>
      <w:docPartObj>
        <w:docPartGallery w:val="Page Numbers (Bottom of Page)"/>
        <w:docPartUnique/>
      </w:docPartObj>
    </w:sdtPr>
    <w:sdtEndPr>
      <w:rPr>
        <w:noProof/>
      </w:rPr>
    </w:sdtEndPr>
    <w:sdtContent>
      <w:p w:rsidR="007904EA">
        <w:pPr>
          <w:pStyle w:val="Footer"/>
          <w:jc w:val="center"/>
        </w:pPr>
        <w:r>
          <w:fldChar w:fldCharType="begin"/>
        </w:r>
        <w:r>
          <w:instrText xml:space="preserve"> PAGE   \* MERGEFORMAT </w:instrText>
        </w:r>
        <w:r>
          <w:fldChar w:fldCharType="separate"/>
        </w:r>
        <w:r w:rsidR="006D0BD1">
          <w:rPr>
            <w:noProof/>
          </w:rPr>
          <w:t>4</w:t>
        </w:r>
        <w:r w:rsidR="006D0BD1">
          <w:rPr>
            <w:noProof/>
          </w:rPr>
          <w:fldChar w:fldCharType="end"/>
        </w:r>
      </w:p>
    </w:sdtContent>
  </w:sdt>
  <w:p w:rsidR="00790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20ABAF95077444B6AF24BF8435A43B31"/>
      </w:placeholder>
      <w:showingPlcHdr/>
      <w:richText/>
      <w:temporary/>
    </w:sdtPr>
    <w:sdtContent>
      <w:p w:rsidR="007904EA">
        <w:pPr>
          <w:pStyle w:val="Footer"/>
        </w:pPr>
        <w:r>
          <w:t>[Type text]</w:t>
        </w:r>
      </w:p>
    </w:sdtContent>
  </w:sdt>
  <w:p w:rsidR="007904E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A" w:rsidP="002A3A3D">
    <w:pPr>
      <w:pStyle w:val="Header"/>
    </w:pPr>
  </w:p>
  <w:p w:rsidR="007904EA" w:rsidP="002A3A3D">
    <w:pPr>
      <w:pStyle w:val="Header"/>
    </w:pPr>
  </w:p>
  <w:p w:rsidR="007904EA"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A">
    <w:pPr>
      <w:pStyle w:val="Header"/>
      <w:jc w:val="right"/>
    </w:pPr>
    <w:r>
      <w:t xml:space="preserve">NURSING LESSON PLAN. </w:t>
    </w:r>
    <w:sdt>
      <w:sdtPr>
        <w:id w:val="218562532"/>
        <w:docPartObj>
          <w:docPartGallery w:val="Page Numbers (Top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rsidR="00790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3673"/>
    <w:multiLevelType w:val="hybridMultilevel"/>
    <w:tmpl w:val="EC38AE3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EC6A14"/>
    <w:multiLevelType w:val="hybridMultilevel"/>
    <w:tmpl w:val="9F8AF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624639"/>
    <w:multiLevelType w:val="hybridMultilevel"/>
    <w:tmpl w:val="8D266CDE"/>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D579D9"/>
    <w:multiLevelType w:val="hybridMultilevel"/>
    <w:tmpl w:val="B56EF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1D0155"/>
    <w:multiLevelType w:val="hybridMultilevel"/>
    <w:tmpl w:val="2028E2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55722"/>
    <w:multiLevelType w:val="hybridMultilevel"/>
    <w:tmpl w:val="055E3C0C"/>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F05102F"/>
    <w:multiLevelType w:val="hybridMultilevel"/>
    <w:tmpl w:val="A9B660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15841CF"/>
    <w:multiLevelType w:val="hybridMultilevel"/>
    <w:tmpl w:val="CD0CCC9E"/>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2743EF"/>
    <w:multiLevelType w:val="hybridMultilevel"/>
    <w:tmpl w:val="EF80B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4E4730"/>
    <w:multiLevelType w:val="hybridMultilevel"/>
    <w:tmpl w:val="9E6E4F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466096"/>
    <w:multiLevelType w:val="hybridMultilevel"/>
    <w:tmpl w:val="5E5C66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482CBE"/>
    <w:multiLevelType w:val="hybridMultilevel"/>
    <w:tmpl w:val="509005A6"/>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947D8"/>
    <w:multiLevelType w:val="hybridMultilevel"/>
    <w:tmpl w:val="C660D9E2"/>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D111899"/>
    <w:multiLevelType w:val="hybridMultilevel"/>
    <w:tmpl w:val="BAEEB7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52605C6"/>
    <w:multiLevelType w:val="hybridMultilevel"/>
    <w:tmpl w:val="5E5C66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57E35D6"/>
    <w:multiLevelType w:val="hybridMultilevel"/>
    <w:tmpl w:val="2F10C6FA"/>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6377707"/>
    <w:multiLevelType w:val="hybridMultilevel"/>
    <w:tmpl w:val="43B0162C"/>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F86638"/>
    <w:multiLevelType w:val="hybridMultilevel"/>
    <w:tmpl w:val="8A64C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B236D5"/>
    <w:multiLevelType w:val="hybridMultilevel"/>
    <w:tmpl w:val="A9B660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9964DD4"/>
    <w:multiLevelType w:val="hybridMultilevel"/>
    <w:tmpl w:val="E4D8E19A"/>
    <w:lvl w:ilvl="0">
      <w:start w:val="1"/>
      <w:numFmt w:val="bullet"/>
      <w:lvlText w:val=""/>
      <w:lvlJc w:val="left"/>
      <w:pPr>
        <w:tabs>
          <w:tab w:val="num" w:pos="360"/>
        </w:tabs>
        <w:ind w:left="36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1C4A48"/>
    <w:multiLevelType w:val="hybridMultilevel"/>
    <w:tmpl w:val="19EA7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12"/>
  </w:num>
  <w:num w:numId="5">
    <w:abstractNumId w:val="11"/>
  </w:num>
  <w:num w:numId="6">
    <w:abstractNumId w:val="2"/>
  </w:num>
  <w:num w:numId="7">
    <w:abstractNumId w:val="15"/>
  </w:num>
  <w:num w:numId="8">
    <w:abstractNumId w:val="5"/>
  </w:num>
  <w:num w:numId="9">
    <w:abstractNumId w:val="8"/>
  </w:num>
  <w:num w:numId="10">
    <w:abstractNumId w:val="17"/>
  </w:num>
  <w:num w:numId="11">
    <w:abstractNumId w:val="1"/>
  </w:num>
  <w:num w:numId="12">
    <w:abstractNumId w:val="4"/>
  </w:num>
  <w:num w:numId="13">
    <w:abstractNumId w:val="0"/>
  </w:num>
  <w:num w:numId="14">
    <w:abstractNumId w:val="13"/>
  </w:num>
  <w:num w:numId="15">
    <w:abstractNumId w:val="18"/>
  </w:num>
  <w:num w:numId="16">
    <w:abstractNumId w:val="14"/>
  </w:num>
  <w:num w:numId="17">
    <w:abstractNumId w:val="6"/>
  </w:num>
  <w:num w:numId="18">
    <w:abstractNumId w:val="10"/>
  </w:num>
  <w:num w:numId="19">
    <w:abstractNumId w:val="20"/>
  </w:num>
  <w:num w:numId="20">
    <w:abstractNumId w:val="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compat/>
  <w:rsids>
    <w:rsidRoot w:val="00942502"/>
    <w:rsid w:val="0000117F"/>
    <w:rsid w:val="000110E6"/>
    <w:rsid w:val="00011F27"/>
    <w:rsid w:val="00013603"/>
    <w:rsid w:val="000310F3"/>
    <w:rsid w:val="000436CC"/>
    <w:rsid w:val="000465AC"/>
    <w:rsid w:val="00050597"/>
    <w:rsid w:val="000513D7"/>
    <w:rsid w:val="00051A47"/>
    <w:rsid w:val="00051B4F"/>
    <w:rsid w:val="00056A00"/>
    <w:rsid w:val="00066B52"/>
    <w:rsid w:val="000824CE"/>
    <w:rsid w:val="000825D6"/>
    <w:rsid w:val="00091132"/>
    <w:rsid w:val="00093E32"/>
    <w:rsid w:val="000959CC"/>
    <w:rsid w:val="0009640A"/>
    <w:rsid w:val="000A1432"/>
    <w:rsid w:val="000B3382"/>
    <w:rsid w:val="000C056C"/>
    <w:rsid w:val="000C507B"/>
    <w:rsid w:val="000F1B88"/>
    <w:rsid w:val="000F5903"/>
    <w:rsid w:val="0010369B"/>
    <w:rsid w:val="0010600B"/>
    <w:rsid w:val="001243F8"/>
    <w:rsid w:val="0012768C"/>
    <w:rsid w:val="00127F7F"/>
    <w:rsid w:val="00140F11"/>
    <w:rsid w:val="00145FD3"/>
    <w:rsid w:val="00151587"/>
    <w:rsid w:val="001617E1"/>
    <w:rsid w:val="0016645F"/>
    <w:rsid w:val="0019764C"/>
    <w:rsid w:val="001A3597"/>
    <w:rsid w:val="001A5EA9"/>
    <w:rsid w:val="001A62CC"/>
    <w:rsid w:val="001B1941"/>
    <w:rsid w:val="001F75CA"/>
    <w:rsid w:val="00200814"/>
    <w:rsid w:val="00210F93"/>
    <w:rsid w:val="0021176E"/>
    <w:rsid w:val="00236493"/>
    <w:rsid w:val="0024689A"/>
    <w:rsid w:val="0025216A"/>
    <w:rsid w:val="00265CA3"/>
    <w:rsid w:val="002802D9"/>
    <w:rsid w:val="00281668"/>
    <w:rsid w:val="0028183F"/>
    <w:rsid w:val="002946DC"/>
    <w:rsid w:val="002A3A3D"/>
    <w:rsid w:val="002C6702"/>
    <w:rsid w:val="00303A1A"/>
    <w:rsid w:val="00310F17"/>
    <w:rsid w:val="003158CE"/>
    <w:rsid w:val="00316289"/>
    <w:rsid w:val="00316FD4"/>
    <w:rsid w:val="00346033"/>
    <w:rsid w:val="00372684"/>
    <w:rsid w:val="00374EFC"/>
    <w:rsid w:val="00376940"/>
    <w:rsid w:val="003948F0"/>
    <w:rsid w:val="003B1CAF"/>
    <w:rsid w:val="003B6162"/>
    <w:rsid w:val="003C1DD2"/>
    <w:rsid w:val="003E308F"/>
    <w:rsid w:val="003E7F2C"/>
    <w:rsid w:val="003F1055"/>
    <w:rsid w:val="003F548E"/>
    <w:rsid w:val="003F5D5C"/>
    <w:rsid w:val="00402550"/>
    <w:rsid w:val="004046A8"/>
    <w:rsid w:val="00426037"/>
    <w:rsid w:val="00437F63"/>
    <w:rsid w:val="00456DDC"/>
    <w:rsid w:val="00465373"/>
    <w:rsid w:val="00471134"/>
    <w:rsid w:val="00471F9D"/>
    <w:rsid w:val="00475B41"/>
    <w:rsid w:val="004A2719"/>
    <w:rsid w:val="004A3CC1"/>
    <w:rsid w:val="004A4589"/>
    <w:rsid w:val="004B242D"/>
    <w:rsid w:val="004B2728"/>
    <w:rsid w:val="004B324D"/>
    <w:rsid w:val="004C2B2B"/>
    <w:rsid w:val="004C4A8E"/>
    <w:rsid w:val="004C6196"/>
    <w:rsid w:val="004D48EF"/>
    <w:rsid w:val="004D6110"/>
    <w:rsid w:val="004D7D0C"/>
    <w:rsid w:val="004E59F7"/>
    <w:rsid w:val="004F07E2"/>
    <w:rsid w:val="004F3075"/>
    <w:rsid w:val="00507964"/>
    <w:rsid w:val="00511872"/>
    <w:rsid w:val="0053072B"/>
    <w:rsid w:val="0055210F"/>
    <w:rsid w:val="00554BF0"/>
    <w:rsid w:val="005569C6"/>
    <w:rsid w:val="00572D83"/>
    <w:rsid w:val="00575403"/>
    <w:rsid w:val="00581312"/>
    <w:rsid w:val="00581DE4"/>
    <w:rsid w:val="005823ED"/>
    <w:rsid w:val="00584DA8"/>
    <w:rsid w:val="005938D0"/>
    <w:rsid w:val="005952F0"/>
    <w:rsid w:val="005A41B3"/>
    <w:rsid w:val="005A5D15"/>
    <w:rsid w:val="005B58DC"/>
    <w:rsid w:val="005B757B"/>
    <w:rsid w:val="005C1B84"/>
    <w:rsid w:val="005D688D"/>
    <w:rsid w:val="00604FE5"/>
    <w:rsid w:val="00615385"/>
    <w:rsid w:val="00624416"/>
    <w:rsid w:val="0063773A"/>
    <w:rsid w:val="00647806"/>
    <w:rsid w:val="00675D82"/>
    <w:rsid w:val="0068534E"/>
    <w:rsid w:val="00694865"/>
    <w:rsid w:val="006A0D6A"/>
    <w:rsid w:val="006B7B81"/>
    <w:rsid w:val="006D0BD1"/>
    <w:rsid w:val="006D3985"/>
    <w:rsid w:val="006F43E5"/>
    <w:rsid w:val="00700EB8"/>
    <w:rsid w:val="00711AE4"/>
    <w:rsid w:val="00712A15"/>
    <w:rsid w:val="007130DE"/>
    <w:rsid w:val="0071733F"/>
    <w:rsid w:val="00721472"/>
    <w:rsid w:val="00721EA0"/>
    <w:rsid w:val="00723B6D"/>
    <w:rsid w:val="007339F1"/>
    <w:rsid w:val="00757C99"/>
    <w:rsid w:val="007853D0"/>
    <w:rsid w:val="007904EA"/>
    <w:rsid w:val="007A4B2F"/>
    <w:rsid w:val="007C2701"/>
    <w:rsid w:val="007D31A9"/>
    <w:rsid w:val="007E305E"/>
    <w:rsid w:val="007E5F7B"/>
    <w:rsid w:val="007F090F"/>
    <w:rsid w:val="00801967"/>
    <w:rsid w:val="0080304A"/>
    <w:rsid w:val="0080531F"/>
    <w:rsid w:val="0081334A"/>
    <w:rsid w:val="0084155A"/>
    <w:rsid w:val="0084501A"/>
    <w:rsid w:val="00847C48"/>
    <w:rsid w:val="008800AA"/>
    <w:rsid w:val="0088693D"/>
    <w:rsid w:val="008943C0"/>
    <w:rsid w:val="008B143E"/>
    <w:rsid w:val="008C2F5E"/>
    <w:rsid w:val="008C6881"/>
    <w:rsid w:val="008D0A8A"/>
    <w:rsid w:val="008E0B12"/>
    <w:rsid w:val="008F34FA"/>
    <w:rsid w:val="008F5117"/>
    <w:rsid w:val="00907CAF"/>
    <w:rsid w:val="00916D19"/>
    <w:rsid w:val="009177AC"/>
    <w:rsid w:val="0092641E"/>
    <w:rsid w:val="00931A9C"/>
    <w:rsid w:val="00935C70"/>
    <w:rsid w:val="00942502"/>
    <w:rsid w:val="0094517C"/>
    <w:rsid w:val="00961C67"/>
    <w:rsid w:val="00977EA8"/>
    <w:rsid w:val="009853F9"/>
    <w:rsid w:val="0098546F"/>
    <w:rsid w:val="00990281"/>
    <w:rsid w:val="009A3FF6"/>
    <w:rsid w:val="009C4771"/>
    <w:rsid w:val="009C50A0"/>
    <w:rsid w:val="009F6C41"/>
    <w:rsid w:val="00A02CB2"/>
    <w:rsid w:val="00A07A8F"/>
    <w:rsid w:val="00A13024"/>
    <w:rsid w:val="00A13504"/>
    <w:rsid w:val="00A34860"/>
    <w:rsid w:val="00A35134"/>
    <w:rsid w:val="00A36371"/>
    <w:rsid w:val="00A372A1"/>
    <w:rsid w:val="00A465C8"/>
    <w:rsid w:val="00A61F0D"/>
    <w:rsid w:val="00A65763"/>
    <w:rsid w:val="00A917D7"/>
    <w:rsid w:val="00A9400C"/>
    <w:rsid w:val="00AA4827"/>
    <w:rsid w:val="00AB6215"/>
    <w:rsid w:val="00AB74AA"/>
    <w:rsid w:val="00AD685A"/>
    <w:rsid w:val="00AE30FC"/>
    <w:rsid w:val="00AF0100"/>
    <w:rsid w:val="00B1546F"/>
    <w:rsid w:val="00B21420"/>
    <w:rsid w:val="00B226E3"/>
    <w:rsid w:val="00B43341"/>
    <w:rsid w:val="00B46C1C"/>
    <w:rsid w:val="00B503EA"/>
    <w:rsid w:val="00B63CE8"/>
    <w:rsid w:val="00B65964"/>
    <w:rsid w:val="00B74059"/>
    <w:rsid w:val="00BB2D52"/>
    <w:rsid w:val="00BC785E"/>
    <w:rsid w:val="00BD1727"/>
    <w:rsid w:val="00BD46D1"/>
    <w:rsid w:val="00BD5403"/>
    <w:rsid w:val="00BE533D"/>
    <w:rsid w:val="00BE5459"/>
    <w:rsid w:val="00C122CD"/>
    <w:rsid w:val="00C13E1F"/>
    <w:rsid w:val="00C16584"/>
    <w:rsid w:val="00C211AA"/>
    <w:rsid w:val="00C35DBB"/>
    <w:rsid w:val="00C774B3"/>
    <w:rsid w:val="00C84DA6"/>
    <w:rsid w:val="00C957CA"/>
    <w:rsid w:val="00C968E9"/>
    <w:rsid w:val="00C969CC"/>
    <w:rsid w:val="00CB18C7"/>
    <w:rsid w:val="00CB3DCC"/>
    <w:rsid w:val="00CB5D9F"/>
    <w:rsid w:val="00CC5F3A"/>
    <w:rsid w:val="00CC7869"/>
    <w:rsid w:val="00CD31BF"/>
    <w:rsid w:val="00CE59D8"/>
    <w:rsid w:val="00CE5B23"/>
    <w:rsid w:val="00D057DA"/>
    <w:rsid w:val="00D05B7A"/>
    <w:rsid w:val="00D078DF"/>
    <w:rsid w:val="00D13A6B"/>
    <w:rsid w:val="00D2581D"/>
    <w:rsid w:val="00D343F3"/>
    <w:rsid w:val="00D52B4A"/>
    <w:rsid w:val="00D56996"/>
    <w:rsid w:val="00D6323F"/>
    <w:rsid w:val="00D93063"/>
    <w:rsid w:val="00DA1DDE"/>
    <w:rsid w:val="00DA51F4"/>
    <w:rsid w:val="00DA61D0"/>
    <w:rsid w:val="00DC7DE9"/>
    <w:rsid w:val="00DD18BF"/>
    <w:rsid w:val="00DE3FF7"/>
    <w:rsid w:val="00DE5089"/>
    <w:rsid w:val="00DF1430"/>
    <w:rsid w:val="00E03F15"/>
    <w:rsid w:val="00E27A4A"/>
    <w:rsid w:val="00E3078E"/>
    <w:rsid w:val="00E32618"/>
    <w:rsid w:val="00E32DE2"/>
    <w:rsid w:val="00E40664"/>
    <w:rsid w:val="00E44F67"/>
    <w:rsid w:val="00E46A79"/>
    <w:rsid w:val="00E477FC"/>
    <w:rsid w:val="00E53177"/>
    <w:rsid w:val="00E74732"/>
    <w:rsid w:val="00E80B57"/>
    <w:rsid w:val="00E91BB7"/>
    <w:rsid w:val="00EE584F"/>
    <w:rsid w:val="00EE697B"/>
    <w:rsid w:val="00EF030A"/>
    <w:rsid w:val="00EF5682"/>
    <w:rsid w:val="00EF75D1"/>
    <w:rsid w:val="00F01250"/>
    <w:rsid w:val="00F01D30"/>
    <w:rsid w:val="00F13317"/>
    <w:rsid w:val="00F360EC"/>
    <w:rsid w:val="00F40C80"/>
    <w:rsid w:val="00F41C37"/>
    <w:rsid w:val="00F55328"/>
    <w:rsid w:val="00F55863"/>
    <w:rsid w:val="00F565E9"/>
    <w:rsid w:val="00F575C6"/>
    <w:rsid w:val="00F63F9F"/>
    <w:rsid w:val="00F65B90"/>
    <w:rsid w:val="00F8556F"/>
    <w:rsid w:val="00F9089F"/>
    <w:rsid w:val="00F94CC8"/>
    <w:rsid w:val="00F965B8"/>
    <w:rsid w:val="00FD3EA9"/>
  </w:rsids>
  <w:docVars>
    <w:docVar w:name="__Grammarly_42___1" w:val="H4sIAAAAAAAEAKtWcslP9kxRslIyNDY2sDAzNTY0MrAwMTM0MzZU0lEKTi0uzszPAykwqgUAe/aQRCwAAAA="/>
    <w:docVar w:name="__Grammarly_42____i" w:val="H4sIAAAAAAAEAKtWckksSQxILCpxzi/NK1GyMqwFAAEhoTITAAAA"/>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E2"/>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754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210F93"/>
    <w:pPr>
      <w:spacing w:after="120"/>
      <w:ind w:left="720"/>
    </w:pPr>
  </w:style>
  <w:style w:type="character" w:styleId="CommentReference">
    <w:name w:val="annotation reference"/>
    <w:basedOn w:val="DefaultParagraphFont"/>
    <w:uiPriority w:val="99"/>
    <w:semiHidden/>
    <w:unhideWhenUsed/>
    <w:rsid w:val="00210F93"/>
    <w:rPr>
      <w:sz w:val="16"/>
      <w:szCs w:val="16"/>
    </w:rPr>
  </w:style>
  <w:style w:type="paragraph" w:styleId="CommentText">
    <w:name w:val="annotation text"/>
    <w:basedOn w:val="Normal"/>
    <w:link w:val="CommentTextChar"/>
    <w:uiPriority w:val="99"/>
    <w:unhideWhenUsed/>
    <w:rsid w:val="00210F93"/>
    <w:rPr>
      <w:sz w:val="20"/>
      <w:szCs w:val="20"/>
    </w:rPr>
  </w:style>
  <w:style w:type="character" w:customStyle="1" w:styleId="CommentTextChar">
    <w:name w:val="Comment Text Char"/>
    <w:basedOn w:val="DefaultParagraphFont"/>
    <w:link w:val="CommentText"/>
    <w:uiPriority w:val="99"/>
    <w:rsid w:val="00210F93"/>
  </w:style>
  <w:style w:type="paragraph" w:styleId="CommentSubject">
    <w:name w:val="annotation subject"/>
    <w:basedOn w:val="CommentText"/>
    <w:next w:val="CommentText"/>
    <w:link w:val="CommentSubjectChar"/>
    <w:uiPriority w:val="99"/>
    <w:semiHidden/>
    <w:unhideWhenUsed/>
    <w:rsid w:val="00210F93"/>
    <w:rPr>
      <w:b/>
      <w:bCs/>
    </w:rPr>
  </w:style>
  <w:style w:type="character" w:customStyle="1" w:styleId="CommentSubjectChar">
    <w:name w:val="Comment Subject Char"/>
    <w:basedOn w:val="CommentTextChar"/>
    <w:link w:val="CommentSubject"/>
    <w:uiPriority w:val="99"/>
    <w:semiHidden/>
    <w:rsid w:val="00210F93"/>
    <w:rPr>
      <w:b/>
      <w:bCs/>
    </w:rPr>
  </w:style>
  <w:style w:type="table" w:styleId="TableGrid">
    <w:name w:val="Table Grid"/>
    <w:basedOn w:val="TableNormal"/>
    <w:uiPriority w:val="39"/>
    <w:rsid w:val="00935C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E53177"/>
  </w:style>
  <w:style w:type="paragraph" w:customStyle="1" w:styleId="paragraph">
    <w:name w:val="paragraph"/>
    <w:basedOn w:val="Normal"/>
    <w:rsid w:val="00E53177"/>
    <w:pPr>
      <w:spacing w:before="100" w:beforeAutospacing="1" w:after="100" w:afterAutospacing="1"/>
    </w:pPr>
    <w:rPr>
      <w:rFonts w:eastAsia="Times New Roman"/>
      <w:szCs w:val="24"/>
    </w:rPr>
  </w:style>
  <w:style w:type="character" w:customStyle="1" w:styleId="eop">
    <w:name w:val="eop"/>
    <w:basedOn w:val="DefaultParagraphFont"/>
    <w:rsid w:val="00E53177"/>
  </w:style>
  <w:style w:type="character" w:customStyle="1" w:styleId="tabchar">
    <w:name w:val="tabchar"/>
    <w:basedOn w:val="DefaultParagraphFont"/>
    <w:rsid w:val="00E53177"/>
  </w:style>
  <w:style w:type="paragraph" w:styleId="NormalWeb">
    <w:name w:val="Normal (Web)"/>
    <w:basedOn w:val="Normal"/>
    <w:uiPriority w:val="99"/>
    <w:unhideWhenUsed/>
    <w:rsid w:val="00E53177"/>
    <w:pPr>
      <w:spacing w:before="100" w:beforeAutospacing="1" w:after="100" w:afterAutospacing="1"/>
    </w:pPr>
    <w:rPr>
      <w:rFonts w:eastAsia="Times New Roman"/>
      <w:szCs w:val="24"/>
    </w:rPr>
  </w:style>
  <w:style w:type="paragraph" w:styleId="Revision">
    <w:name w:val="Revision"/>
    <w:hidden/>
    <w:uiPriority w:val="99"/>
    <w:semiHidden/>
    <w:rsid w:val="007D31A9"/>
    <w:rPr>
      <w:sz w:val="24"/>
      <w:szCs w:val="22"/>
    </w:rPr>
  </w:style>
  <w:style w:type="character" w:styleId="Hyperlink">
    <w:name w:val="Hyperlink"/>
    <w:basedOn w:val="DefaultParagraphFont"/>
    <w:uiPriority w:val="99"/>
    <w:unhideWhenUsed/>
    <w:rsid w:val="0010600B"/>
    <w:rPr>
      <w:color w:val="0000FF" w:themeColor="hyperlink"/>
      <w:u w:val="single"/>
    </w:rPr>
  </w:style>
  <w:style w:type="character" w:customStyle="1" w:styleId="UnresolvedMention1">
    <w:name w:val="Unresolved Mention1"/>
    <w:basedOn w:val="DefaultParagraphFont"/>
    <w:uiPriority w:val="99"/>
    <w:semiHidden/>
    <w:unhideWhenUsed/>
    <w:rsid w:val="0010600B"/>
    <w:rPr>
      <w:color w:val="605E5C"/>
      <w:shd w:val="clear" w:color="auto" w:fill="E1DFDD"/>
    </w:rPr>
  </w:style>
  <w:style w:type="character" w:customStyle="1" w:styleId="UnresolvedMention2">
    <w:name w:val="Unresolved Mention2"/>
    <w:basedOn w:val="DefaultParagraphFont"/>
    <w:uiPriority w:val="99"/>
    <w:rsid w:val="00F55863"/>
    <w:rPr>
      <w:color w:val="605E5C"/>
      <w:shd w:val="clear" w:color="auto" w:fill="E1DFDD"/>
    </w:rPr>
  </w:style>
  <w:style w:type="character" w:customStyle="1" w:styleId="Heading5Char">
    <w:name w:val="Heading 5 Char"/>
    <w:basedOn w:val="DefaultParagraphFont"/>
    <w:link w:val="Heading5"/>
    <w:uiPriority w:val="9"/>
    <w:semiHidden/>
    <w:rsid w:val="00575403"/>
    <w:rPr>
      <w:rFonts w:asciiTheme="majorHAnsi" w:eastAsiaTheme="majorEastAsia" w:hAnsiTheme="majorHAnsi" w:cstheme="majorBidi"/>
      <w:color w:val="243F60" w:themeColor="accent1" w:themeShade="7F"/>
      <w:sz w:val="24"/>
      <w:szCs w:val="22"/>
    </w:rPr>
  </w:style>
  <w:style w:type="character" w:styleId="Emphasis">
    <w:name w:val="Emphasis"/>
    <w:basedOn w:val="DefaultParagraphFont"/>
    <w:uiPriority w:val="20"/>
    <w:qFormat/>
    <w:rsid w:val="00CB5D9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16/j.ecns.2014.03.004" TargetMode="External" /><Relationship Id="rId11" Type="http://schemas.openxmlformats.org/officeDocument/2006/relationships/hyperlink" Target="https://doi.org/10.1016/j.profnurs.2005.12.008"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16/j.nepr.2014.03.003" TargetMode="External" /><Relationship Id="rId5" Type="http://schemas.openxmlformats.org/officeDocument/2006/relationships/hyperlink" Target="https://doi.org/10.1016/j.nedt.2020.104605" TargetMode="External" /><Relationship Id="rId6" Type="http://schemas.openxmlformats.org/officeDocument/2006/relationships/hyperlink" Target="https://doi.org/10.1016/j.nedt.2018.12.006" TargetMode="External" /><Relationship Id="rId7" Type="http://schemas.openxmlformats.org/officeDocument/2006/relationships/hyperlink" Target="https://doi.org/10.1016/j.ecns.2017.08.001" TargetMode="External" /><Relationship Id="rId8" Type="http://schemas.openxmlformats.org/officeDocument/2006/relationships/hyperlink" Target="https://doi.org/10.1016/j.nedt.2018.11.004" TargetMode="External" /><Relationship Id="rId9" Type="http://schemas.openxmlformats.org/officeDocument/2006/relationships/hyperlink" Target="https://doi.org/10.1111/jocn.14077"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1D11947-535B-47F9-A8EE-9E3AC3F6308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FELayout/>
  </w:compat>
  <w:rsids>
    <w:rsidRoot w:val="00FE7A39"/>
    <w:rsid w:val="00FE7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ABAF95077444B6AF24BF8435A43B31">
    <w:name w:val="20ABAF95077444B6AF24BF8435A43B31"/>
    <w:rsid w:val="00FE7A39"/>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2022-10-15T07:20:00Z</dcterms:created>
  <dcterms:modified xsi:type="dcterms:W3CDTF">2022-10-15T07:21:00Z</dcterms:modified>
</cp:coreProperties>
</file>