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07C72" w:rsidRPr="001A128D" w:rsidP="001A1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A128D">
        <w:rPr>
          <w:rFonts w:ascii="Times New Roman" w:hAnsi="Times New Roman" w:cs="Times New Roman"/>
          <w:sz w:val="24"/>
          <w:szCs w:val="24"/>
        </w:rPr>
        <w:t>Hello</w:t>
      </w:r>
      <w:r w:rsidRPr="001A128D" w:rsidR="00B1411D">
        <w:rPr>
          <w:rFonts w:ascii="Times New Roman" w:hAnsi="Times New Roman" w:cs="Times New Roman"/>
          <w:sz w:val="24"/>
          <w:szCs w:val="24"/>
        </w:rPr>
        <w:t xml:space="preserve"> Lopez</w:t>
      </w:r>
      <w:r w:rsidRPr="001A128D">
        <w:rPr>
          <w:rFonts w:ascii="Times New Roman" w:hAnsi="Times New Roman" w:cs="Times New Roman"/>
          <w:sz w:val="24"/>
          <w:szCs w:val="24"/>
        </w:rPr>
        <w:t>,</w:t>
      </w:r>
    </w:p>
    <w:p w:rsidR="001F4602" w:rsidRPr="001A128D" w:rsidP="001A128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A128D">
        <w:rPr>
          <w:rFonts w:ascii="Times New Roman" w:hAnsi="Times New Roman" w:cs="Times New Roman"/>
          <w:sz w:val="24"/>
          <w:szCs w:val="24"/>
        </w:rPr>
        <w:t>Great post. I agree eradication of Helicobacter pylori is paramount in the healing of peptic ulcers and preventing relapse. However, antibiotic resistance is prevalent globally</w:t>
      </w:r>
      <w:r w:rsidRPr="001A128D" w:rsidR="00987F25">
        <w:rPr>
          <w:rFonts w:ascii="Times New Roman" w:hAnsi="Times New Roman" w:cs="Times New Roman"/>
          <w:sz w:val="24"/>
          <w:szCs w:val="24"/>
        </w:rPr>
        <w:t>. In addition, the rate of eradication increases with the use of high doses of PPIs extended for 14 days</w:t>
      </w:r>
      <w:r w:rsidRPr="001A128D" w:rsidR="00A83755">
        <w:rPr>
          <w:rFonts w:ascii="Times New Roman" w:hAnsi="Times New Roman" w:cs="Times New Roman"/>
          <w:sz w:val="24"/>
          <w:szCs w:val="24"/>
        </w:rPr>
        <w:t xml:space="preserve"> (</w:t>
      </w:r>
      <w:r w:rsidRPr="001A128D" w:rsidR="005D1038">
        <w:rPr>
          <w:rFonts w:ascii="Times New Roman" w:hAnsi="Times New Roman" w:cs="Times New Roman"/>
          <w:sz w:val="24"/>
          <w:szCs w:val="24"/>
        </w:rPr>
        <w:t>Kuna et al., 2019</w:t>
      </w:r>
      <w:r w:rsidRPr="001A128D" w:rsidR="00A83755">
        <w:rPr>
          <w:rFonts w:ascii="Times New Roman" w:hAnsi="Times New Roman" w:cs="Times New Roman"/>
          <w:sz w:val="24"/>
          <w:szCs w:val="24"/>
        </w:rPr>
        <w:t xml:space="preserve">). As well, PPIs are commonly overprescribed drugs globally and are associated with minor and easy-to-manage side effects including diarrhea, abdominal discomfort, headache, and </w:t>
      </w:r>
      <w:r w:rsidRPr="001A128D" w:rsidR="00F200B3">
        <w:rPr>
          <w:rFonts w:ascii="Times New Roman" w:hAnsi="Times New Roman" w:cs="Times New Roman"/>
          <w:sz w:val="24"/>
          <w:szCs w:val="24"/>
        </w:rPr>
        <w:t xml:space="preserve">constipation. However, the use of PPIs and some adverse effects are major concerns to patients and physicians related to the suppressed secretion </w:t>
      </w:r>
      <w:r w:rsidRPr="001A128D" w:rsidR="00DF5F91">
        <w:rPr>
          <w:rFonts w:ascii="Times New Roman" w:hAnsi="Times New Roman" w:cs="Times New Roman"/>
          <w:sz w:val="24"/>
          <w:szCs w:val="24"/>
        </w:rPr>
        <w:t xml:space="preserve">of gastric acid causing ingested microbial agents supposed to </w:t>
      </w:r>
      <w:r w:rsidRPr="001A128D" w:rsidR="00DF5F91">
        <w:rPr>
          <w:rFonts w:ascii="Times New Roman" w:hAnsi="Times New Roman" w:cs="Times New Roman"/>
          <w:sz w:val="24"/>
          <w:szCs w:val="24"/>
        </w:rPr>
        <w:t>be destroyed</w:t>
      </w:r>
      <w:r w:rsidRPr="001A128D" w:rsidR="00DF5F91">
        <w:rPr>
          <w:rFonts w:ascii="Times New Roman" w:hAnsi="Times New Roman" w:cs="Times New Roman"/>
          <w:sz w:val="24"/>
          <w:szCs w:val="24"/>
        </w:rPr>
        <w:t xml:space="preserve"> by gastric acid to colonize in the upper gastrointestinal tract causing infections</w:t>
      </w:r>
      <w:r w:rsidRPr="001A128D" w:rsidR="001A128D">
        <w:rPr>
          <w:rFonts w:ascii="Times New Roman" w:hAnsi="Times New Roman" w:cs="Times New Roman"/>
          <w:sz w:val="24"/>
          <w:szCs w:val="24"/>
        </w:rPr>
        <w:t xml:space="preserve"> (</w:t>
      </w:r>
      <w:r w:rsidRPr="001A128D" w:rsidR="001A128D">
        <w:rPr>
          <w:rFonts w:ascii="Times New Roman" w:hAnsi="Times New Roman" w:cs="Times New Roman"/>
          <w:sz w:val="24"/>
          <w:szCs w:val="24"/>
        </w:rPr>
        <w:t>Kuna et al., 2019</w:t>
      </w:r>
      <w:r w:rsidRPr="001A128D" w:rsidR="001A128D">
        <w:rPr>
          <w:rFonts w:ascii="Times New Roman" w:hAnsi="Times New Roman" w:cs="Times New Roman"/>
          <w:sz w:val="24"/>
          <w:szCs w:val="24"/>
        </w:rPr>
        <w:t>)</w:t>
      </w:r>
      <w:r w:rsidRPr="001A128D" w:rsidR="00605DD2">
        <w:rPr>
          <w:rFonts w:ascii="Times New Roman" w:hAnsi="Times New Roman" w:cs="Times New Roman"/>
          <w:sz w:val="24"/>
          <w:szCs w:val="24"/>
        </w:rPr>
        <w:t>.</w:t>
      </w:r>
      <w:r w:rsidRPr="001A128D" w:rsidR="00DF5F91">
        <w:rPr>
          <w:rFonts w:ascii="Times New Roman" w:hAnsi="Times New Roman" w:cs="Times New Roman"/>
          <w:sz w:val="24"/>
          <w:szCs w:val="24"/>
        </w:rPr>
        <w:t xml:space="preserve"> </w:t>
      </w:r>
      <w:r w:rsidRPr="001A128D" w:rsidR="00610551">
        <w:rPr>
          <w:rFonts w:ascii="Times New Roman" w:hAnsi="Times New Roman" w:cs="Times New Roman"/>
          <w:sz w:val="24"/>
          <w:szCs w:val="24"/>
        </w:rPr>
        <w:t xml:space="preserve">More so, PPIs </w:t>
      </w:r>
      <w:r w:rsidRPr="001A128D" w:rsidR="00610551">
        <w:rPr>
          <w:rFonts w:ascii="Times New Roman" w:hAnsi="Times New Roman" w:cs="Times New Roman"/>
          <w:sz w:val="24"/>
          <w:szCs w:val="24"/>
        </w:rPr>
        <w:t>are metabolized</w:t>
      </w:r>
      <w:r w:rsidRPr="001A128D" w:rsidR="00610551">
        <w:rPr>
          <w:rFonts w:ascii="Times New Roman" w:hAnsi="Times New Roman" w:cs="Times New Roman"/>
          <w:sz w:val="24"/>
          <w:szCs w:val="24"/>
        </w:rPr>
        <w:t xml:space="preserve"> by cytochrome (CYP) P450 </w:t>
      </w:r>
      <w:r w:rsidRPr="001A128D" w:rsidR="00610551">
        <w:rPr>
          <w:rFonts w:ascii="Times New Roman" w:hAnsi="Times New Roman" w:cs="Times New Roman"/>
          <w:sz w:val="24"/>
          <w:szCs w:val="24"/>
        </w:rPr>
        <w:t>system</w:t>
      </w:r>
      <w:r w:rsidRPr="001A128D" w:rsidR="00610551">
        <w:rPr>
          <w:rFonts w:ascii="Times New Roman" w:hAnsi="Times New Roman" w:cs="Times New Roman"/>
          <w:sz w:val="24"/>
          <w:szCs w:val="24"/>
        </w:rPr>
        <w:t xml:space="preserve"> such as CYP2C19 enzyme</w:t>
      </w:r>
      <w:r w:rsidRPr="001A128D" w:rsidR="002701CF">
        <w:rPr>
          <w:rFonts w:ascii="Times New Roman" w:hAnsi="Times New Roman" w:cs="Times New Roman"/>
          <w:sz w:val="24"/>
          <w:szCs w:val="24"/>
        </w:rPr>
        <w:t xml:space="preserve"> and the Food</w:t>
      </w:r>
      <w:r w:rsidRPr="001A128D" w:rsidR="00605DD2">
        <w:rPr>
          <w:rFonts w:ascii="Times New Roman" w:hAnsi="Times New Roman" w:cs="Times New Roman"/>
          <w:sz w:val="24"/>
          <w:szCs w:val="24"/>
        </w:rPr>
        <w:t xml:space="preserve"> (Kuna et al., 2019)</w:t>
      </w:r>
      <w:r w:rsidRPr="001A128D" w:rsidR="002701CF">
        <w:rPr>
          <w:rFonts w:ascii="Times New Roman" w:hAnsi="Times New Roman" w:cs="Times New Roman"/>
          <w:sz w:val="24"/>
          <w:szCs w:val="24"/>
        </w:rPr>
        <w:t xml:space="preserve"> and Drug Administration (FDA) warns avoidance of omeprazole or esomeprazole </w:t>
      </w:r>
      <w:r w:rsidRPr="001A128D" w:rsidR="001A09BC">
        <w:rPr>
          <w:rFonts w:ascii="Times New Roman" w:hAnsi="Times New Roman" w:cs="Times New Roman"/>
          <w:sz w:val="24"/>
          <w:szCs w:val="24"/>
        </w:rPr>
        <w:t xml:space="preserve">due to </w:t>
      </w:r>
      <w:r w:rsidRPr="001A128D" w:rsidR="002701CF">
        <w:rPr>
          <w:rFonts w:ascii="Times New Roman" w:hAnsi="Times New Roman" w:cs="Times New Roman"/>
          <w:sz w:val="24"/>
          <w:szCs w:val="24"/>
        </w:rPr>
        <w:t xml:space="preserve">the reduction of </w:t>
      </w:r>
      <w:r w:rsidRPr="001A128D" w:rsidR="001A09BC">
        <w:rPr>
          <w:rFonts w:ascii="Times New Roman" w:hAnsi="Times New Roman" w:cs="Times New Roman"/>
          <w:sz w:val="24"/>
          <w:szCs w:val="24"/>
        </w:rPr>
        <w:t xml:space="preserve">antiplatelet action of </w:t>
      </w:r>
      <w:r w:rsidRPr="001A128D" w:rsidR="002701CF">
        <w:rPr>
          <w:rFonts w:ascii="Times New Roman" w:hAnsi="Times New Roman" w:cs="Times New Roman"/>
          <w:sz w:val="24"/>
          <w:szCs w:val="24"/>
        </w:rPr>
        <w:t>clopidogrel</w:t>
      </w:r>
      <w:r w:rsidRPr="001A128D" w:rsidR="00F72958">
        <w:rPr>
          <w:rFonts w:ascii="Times New Roman" w:hAnsi="Times New Roman" w:cs="Times New Roman"/>
          <w:sz w:val="24"/>
          <w:szCs w:val="24"/>
        </w:rPr>
        <w:t xml:space="preserve"> (</w:t>
      </w:r>
      <w:r w:rsidRPr="001A128D" w:rsidR="007E1A60">
        <w:rPr>
          <w:rFonts w:ascii="Times New Roman" w:hAnsi="Times New Roman" w:cs="Times New Roman"/>
          <w:sz w:val="24"/>
          <w:szCs w:val="24"/>
        </w:rPr>
        <w:t>Denisenko</w:t>
      </w:r>
      <w:r w:rsidRPr="001A128D" w:rsidR="007E1A60">
        <w:rPr>
          <w:rFonts w:ascii="Times New Roman" w:hAnsi="Times New Roman" w:cs="Times New Roman"/>
          <w:sz w:val="24"/>
          <w:szCs w:val="24"/>
        </w:rPr>
        <w:t xml:space="preserve"> et al., 2018</w:t>
      </w:r>
      <w:r w:rsidRPr="001A128D" w:rsidR="00F72958">
        <w:rPr>
          <w:rFonts w:ascii="Times New Roman" w:hAnsi="Times New Roman" w:cs="Times New Roman"/>
          <w:sz w:val="24"/>
          <w:szCs w:val="24"/>
        </w:rPr>
        <w:t>)</w:t>
      </w:r>
      <w:r w:rsidRPr="001A128D" w:rsidR="002701CF">
        <w:rPr>
          <w:rFonts w:ascii="Times New Roman" w:hAnsi="Times New Roman" w:cs="Times New Roman"/>
          <w:sz w:val="24"/>
          <w:szCs w:val="24"/>
        </w:rPr>
        <w:t>.</w:t>
      </w:r>
      <w:r w:rsidRPr="001A128D" w:rsidR="001A09BC">
        <w:rPr>
          <w:rFonts w:ascii="Times New Roman" w:hAnsi="Times New Roman" w:cs="Times New Roman"/>
          <w:sz w:val="24"/>
          <w:szCs w:val="24"/>
        </w:rPr>
        <w:t xml:space="preserve"> Other unanticipated adverse effects related to PPI use include </w:t>
      </w:r>
      <w:r w:rsidRPr="001A128D" w:rsidR="001A09BC">
        <w:rPr>
          <w:rFonts w:ascii="Times New Roman" w:hAnsi="Times New Roman" w:cs="Times New Roman"/>
          <w:sz w:val="24"/>
          <w:szCs w:val="24"/>
        </w:rPr>
        <w:t>myocardial infarction, s</w:t>
      </w:r>
      <w:r w:rsidRPr="001A128D" w:rsidR="001A09BC">
        <w:rPr>
          <w:rFonts w:ascii="Times New Roman" w:hAnsi="Times New Roman" w:cs="Times New Roman"/>
          <w:sz w:val="24"/>
          <w:szCs w:val="24"/>
        </w:rPr>
        <w:t xml:space="preserve">troke, and kidney </w:t>
      </w:r>
      <w:r w:rsidRPr="001A128D" w:rsidR="001A09BC">
        <w:rPr>
          <w:rFonts w:ascii="Times New Roman" w:hAnsi="Times New Roman" w:cs="Times New Roman"/>
          <w:sz w:val="24"/>
          <w:szCs w:val="24"/>
        </w:rPr>
        <w:t>disease</w:t>
      </w:r>
      <w:r w:rsidRPr="001A128D" w:rsidR="001A09BC">
        <w:rPr>
          <w:rFonts w:ascii="Times New Roman" w:hAnsi="Times New Roman" w:cs="Times New Roman"/>
          <w:sz w:val="24"/>
          <w:szCs w:val="24"/>
        </w:rPr>
        <w:t>s</w:t>
      </w:r>
      <w:r w:rsidRPr="001A128D" w:rsidR="00835F28">
        <w:rPr>
          <w:rFonts w:ascii="Times New Roman" w:hAnsi="Times New Roman" w:cs="Times New Roman"/>
          <w:sz w:val="24"/>
          <w:szCs w:val="24"/>
        </w:rPr>
        <w:t xml:space="preserve"> due to the activation of </w:t>
      </w:r>
      <w:r w:rsidRPr="001A128D" w:rsidR="00835F28">
        <w:rPr>
          <w:rFonts w:ascii="Times New Roman" w:hAnsi="Times New Roman" w:cs="Times New Roman"/>
          <w:sz w:val="24"/>
          <w:szCs w:val="24"/>
        </w:rPr>
        <w:t>clopidogrel</w:t>
      </w:r>
      <w:r w:rsidRPr="001A128D" w:rsidR="00835F28">
        <w:rPr>
          <w:rFonts w:ascii="Times New Roman" w:hAnsi="Times New Roman" w:cs="Times New Roman"/>
          <w:sz w:val="24"/>
          <w:szCs w:val="24"/>
        </w:rPr>
        <w:t xml:space="preserve"> caused by reduced nitric acid </w:t>
      </w:r>
      <w:r w:rsidRPr="001A128D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1A128D" w:rsidR="00835F28">
        <w:rPr>
          <w:rFonts w:ascii="Times New Roman" w:hAnsi="Times New Roman" w:cs="Times New Roman"/>
          <w:sz w:val="24"/>
          <w:szCs w:val="24"/>
        </w:rPr>
        <w:t>and altered vascular homeostasis</w:t>
      </w:r>
      <w:r w:rsidRPr="001A128D">
        <w:rPr>
          <w:rFonts w:ascii="Times New Roman" w:hAnsi="Times New Roman" w:cs="Times New Roman"/>
          <w:sz w:val="24"/>
          <w:szCs w:val="24"/>
        </w:rPr>
        <w:t xml:space="preserve"> (</w:t>
      </w:r>
      <w:r w:rsidRPr="001A128D" w:rsidR="005D1038">
        <w:rPr>
          <w:rFonts w:ascii="Times New Roman" w:hAnsi="Times New Roman" w:cs="Times New Roman"/>
          <w:sz w:val="24"/>
          <w:szCs w:val="24"/>
        </w:rPr>
        <w:t>Kuna et al., 2019</w:t>
      </w:r>
      <w:r w:rsidRPr="001A128D">
        <w:rPr>
          <w:rFonts w:ascii="Times New Roman" w:hAnsi="Times New Roman" w:cs="Times New Roman"/>
          <w:sz w:val="24"/>
          <w:szCs w:val="24"/>
        </w:rPr>
        <w:t>). Suppressed production of acid increases gastric pH, inhibits ingestion of peptides, and inactivation of pepsin causing an allergic reaction in small intestines.</w:t>
      </w:r>
    </w:p>
    <w:p w:rsidR="001F4602" w:rsidRPr="001A128D" w:rsidP="001A1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28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A128D" w:rsidRPr="001A128D" w:rsidP="001A128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Denisenko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P.,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Sychev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A.,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Sizova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 M., Smirnov, V. V.,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Ryzhikova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A.,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Sozaeva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Z. A., &amp;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Grishina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A. (2018). CYP3A and CYP2C19 activity in urine in relation to CYP3A4, CYP3A5, and CYP2C19 polymorphisms in Russian peptic ulcer patients taking omeprazole. </w:t>
      </w:r>
      <w:r w:rsidRPr="001A12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Pharmacogenomics and Personalized Medicine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12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107.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1A128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https://doi.org/10.2147%2FPGPM.S159708</w:t>
        </w:r>
      </w:hyperlink>
    </w:p>
    <w:p w:rsidR="001A128D" w:rsidRPr="001A128D" w:rsidP="001A128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Kuna, L.,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Jakab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Smolic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Raguz-Lucic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N.,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Vcev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Smolic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(2019). Peptic ulcer disease: a brief review of conventional therapy and herbal treatment options. </w:t>
      </w:r>
      <w:r w:rsidRPr="001A12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medicine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12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1A12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179.</w:t>
      </w:r>
      <w:r w:rsidRPr="001A128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F7A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https://doi.org/10.3390/jcm8020179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1D"/>
    <w:rsid w:val="001A09BC"/>
    <w:rsid w:val="001A128D"/>
    <w:rsid w:val="001F07F4"/>
    <w:rsid w:val="001F4602"/>
    <w:rsid w:val="002701CF"/>
    <w:rsid w:val="0053004B"/>
    <w:rsid w:val="005D1038"/>
    <w:rsid w:val="00605DD2"/>
    <w:rsid w:val="00610551"/>
    <w:rsid w:val="007E1A60"/>
    <w:rsid w:val="007F215A"/>
    <w:rsid w:val="00835F28"/>
    <w:rsid w:val="008B0734"/>
    <w:rsid w:val="00907C72"/>
    <w:rsid w:val="00987F25"/>
    <w:rsid w:val="00A83755"/>
    <w:rsid w:val="00B1411D"/>
    <w:rsid w:val="00D2749C"/>
    <w:rsid w:val="00DF5F91"/>
    <w:rsid w:val="00DF7A04"/>
    <w:rsid w:val="00F200B3"/>
    <w:rsid w:val="00F729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B5DF6D"/>
  <w15:chartTrackingRefBased/>
  <w15:docId w15:val="{580E63E3-F272-4477-8A4C-83D15DDF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2147%2FPGPM.S159708" TargetMode="External" /><Relationship Id="rId5" Type="http://schemas.openxmlformats.org/officeDocument/2006/relationships/hyperlink" Target="https://doi.org/10.3390/jcm8020179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2022-10-20T08:54:00Z</dcterms:created>
  <dcterms:modified xsi:type="dcterms:W3CDTF">2022-10-20T10:34:00Z</dcterms:modified>
</cp:coreProperties>
</file>