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D7" w:rsidRPr="006847A0" w:rsidRDefault="00217E6C" w:rsidP="006847A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7A0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Pr="006847A0">
        <w:rPr>
          <w:rFonts w:ascii="Times New Roman" w:hAnsi="Times New Roman" w:cs="Times New Roman"/>
          <w:b/>
          <w:sz w:val="24"/>
          <w:szCs w:val="24"/>
        </w:rPr>
        <w:t>Rachel Akewushola</w:t>
      </w:r>
    </w:p>
    <w:p w:rsidR="000140FE" w:rsidRPr="006847A0" w:rsidRDefault="000140FE" w:rsidP="006847A0">
      <w:pPr>
        <w:spacing w:after="0"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847A0">
        <w:rPr>
          <w:rFonts w:ascii="Times New Roman" w:hAnsi="Times New Roman" w:cs="Times New Roman"/>
          <w:sz w:val="24"/>
          <w:szCs w:val="24"/>
        </w:rPr>
        <w:t xml:space="preserve">Hello </w:t>
      </w:r>
      <w:r w:rsidRPr="006847A0">
        <w:rPr>
          <w:rFonts w:ascii="Times New Roman" w:hAnsi="Times New Roman" w:cs="Times New Roman"/>
          <w:sz w:val="24"/>
          <w:szCs w:val="24"/>
        </w:rPr>
        <w:t>Akewushola</w:t>
      </w:r>
      <w:r w:rsidRPr="006847A0">
        <w:rPr>
          <w:rFonts w:ascii="Times New Roman" w:hAnsi="Times New Roman" w:cs="Times New Roman"/>
          <w:sz w:val="24"/>
          <w:szCs w:val="24"/>
        </w:rPr>
        <w:t xml:space="preserve">, thanks for sharing such an eductive response to this week’s discussion post on </w:t>
      </w:r>
      <w:r w:rsidR="00CA5883" w:rsidRPr="006847A0">
        <w:rPr>
          <w:rFonts w:ascii="Times New Roman" w:hAnsi="Times New Roman" w:cs="Times New Roman"/>
          <w:sz w:val="24"/>
          <w:szCs w:val="24"/>
        </w:rPr>
        <w:t xml:space="preserve">helping adults to stay healthy. </w:t>
      </w:r>
      <w:r w:rsidR="00A1567A" w:rsidRPr="006847A0">
        <w:rPr>
          <w:rFonts w:ascii="Times New Roman" w:hAnsi="Times New Roman" w:cs="Times New Roman"/>
          <w:sz w:val="24"/>
          <w:szCs w:val="24"/>
        </w:rPr>
        <w:t xml:space="preserve">I agree with you that there are </w:t>
      </w:r>
      <w:r w:rsidR="00A1567A" w:rsidRPr="006847A0">
        <w:rPr>
          <w:rFonts w:ascii="Times New Roman" w:hAnsi="Times New Roman" w:cs="Times New Roman"/>
          <w:sz w:val="24"/>
          <w:szCs w:val="24"/>
        </w:rPr>
        <w:t>five levels of prevention, and they include the following: primordial prevention, primary prevention, secondary prevention, tertiary prevention, and quaternary prevention (Melton &amp; Romanchik-Cerpovicz, 2021).</w:t>
      </w:r>
      <w:r w:rsidR="00A1567A" w:rsidRPr="006847A0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t xml:space="preserve"> </w:t>
      </w:r>
      <w:r w:rsidR="00863FC8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Primordial prevention involves risk factor reduction targeted toward an entire population </w:t>
      </w:r>
      <w:r w:rsidR="006847A0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>by focusing</w:t>
      </w:r>
      <w:r w:rsidR="00863FC8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on social and environmental conditions. </w:t>
      </w:r>
      <w:r w:rsidR="00A1567A" w:rsidRPr="006847A0">
        <w:rPr>
          <w:rFonts w:ascii="Times New Roman" w:hAnsi="Times New Roman" w:cs="Times New Roman"/>
          <w:sz w:val="24"/>
          <w:szCs w:val="24"/>
        </w:rPr>
        <w:t>Melton and Romanchik-Cerpovicz (2021) stated that primary prevention involves interventions with individuals before negative health effects occur through measures such as altering risky behaviors</w:t>
      </w:r>
      <w:r w:rsidR="00A1567A" w:rsidRPr="006847A0">
        <w:rPr>
          <w:rFonts w:ascii="Times New Roman" w:hAnsi="Times New Roman" w:cs="Times New Roman"/>
          <w:sz w:val="24"/>
          <w:szCs w:val="24"/>
        </w:rPr>
        <w:t xml:space="preserve">. </w:t>
      </w:r>
      <w:r w:rsidR="00863FC8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>Secondary prevention emphasizes early detection</w:t>
      </w:r>
      <w:r w:rsidR="006847A0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>,</w:t>
      </w:r>
      <w:r w:rsidR="00863FC8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and its target is healthy-appeari</w:t>
      </w:r>
      <w:bookmarkStart w:id="0" w:name="_GoBack"/>
      <w:bookmarkEnd w:id="0"/>
      <w:r w:rsidR="00863FC8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>ng individuals with subclinical forms of the disease.</w:t>
      </w:r>
      <w:r w:rsidR="00863FC8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</w:t>
      </w:r>
      <w:r w:rsidR="006847A0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>A</w:t>
      </w:r>
      <w:r w:rsidR="00863FC8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>n example of secondary prevention is blood pressure screening as a blood pre</w:t>
      </w:r>
      <w:r w:rsidR="006847A0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>s</w:t>
      </w:r>
      <w:r w:rsidR="00863FC8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>sure prevention strategy.</w:t>
      </w:r>
      <w:r w:rsidR="00C51CFA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C51CFA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>The U.S. Preventive Services Task Force (USPSTF) recommends</w:t>
      </w:r>
      <w:r w:rsidR="00C51CFA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screening for blood pressure in adults age</w:t>
      </w:r>
      <w:r w:rsidR="006847A0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>d</w:t>
      </w:r>
      <w:r w:rsidR="00C51CFA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18 or older without any known high blood pressure history (</w:t>
      </w:r>
      <w:r w:rsidR="00D767F3" w:rsidRPr="006847A0">
        <w:rPr>
          <w:rFonts w:ascii="Times New Roman" w:hAnsi="Times New Roman" w:cs="Times New Roman"/>
          <w:sz w:val="24"/>
          <w:szCs w:val="24"/>
        </w:rPr>
        <w:t>USPSTF</w:t>
      </w:r>
      <w:r w:rsidR="00D767F3" w:rsidRPr="006847A0">
        <w:rPr>
          <w:rFonts w:ascii="Times New Roman" w:hAnsi="Times New Roman" w:cs="Times New Roman"/>
          <w:sz w:val="24"/>
          <w:szCs w:val="24"/>
        </w:rPr>
        <w:t>, 2022</w:t>
      </w:r>
      <w:r w:rsidR="00C51CFA" w:rsidRPr="006847A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). </w:t>
      </w:r>
      <w:r w:rsidR="00C51CFA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U.S. Preventive Services Task Force (USPSTF) </w:t>
      </w:r>
      <w:r w:rsidR="00C51CFA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also </w:t>
      </w:r>
      <w:r w:rsidR="00C51CFA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recommends</w:t>
      </w:r>
      <w:r w:rsidR="00C51CFA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6847A0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yearly screening for adults aged 40 years or older and individuals</w:t>
      </w:r>
      <w:r w:rsidR="00C51CFA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at increased risk of developing high blood pressure</w:t>
      </w:r>
      <w:r w:rsidR="00D767F3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</w:t>
      </w:r>
      <w:r w:rsidR="00D767F3" w:rsidRPr="006847A0">
        <w:rPr>
          <w:rFonts w:ascii="Times New Roman" w:hAnsi="Times New Roman" w:cs="Times New Roman"/>
          <w:sz w:val="24"/>
          <w:szCs w:val="24"/>
        </w:rPr>
        <w:t>USPSTF, 2022</w:t>
      </w:r>
      <w:r w:rsidR="00D767F3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</w:t>
      </w:r>
      <w:r w:rsidR="00C51CFA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D66605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</w:t>
      </w:r>
      <w:r w:rsidR="006847A0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</w:t>
      </w:r>
      <w:r w:rsidR="00D66605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such, </w:t>
      </w:r>
      <w:r w:rsidR="006847A0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implementing</w:t>
      </w:r>
      <w:r w:rsidR="00D66605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different prevention strategies is significant in reducing the </w:t>
      </w:r>
      <w:r w:rsidR="006847A0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disease's occurrence or severity and impact</w:t>
      </w:r>
      <w:r w:rsidR="00D66605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Selecting population</w:t>
      </w:r>
      <w:r w:rsidR="006847A0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</w:t>
      </w:r>
      <w:r w:rsidR="00D66605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appropriate prevention interventions is significant in ensuring </w:t>
      </w:r>
      <w:r w:rsidR="006847A0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</w:t>
      </w:r>
      <w:r w:rsidR="00176418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maximum benefit </w:t>
      </w:r>
      <w:r w:rsidR="006847A0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of</w:t>
      </w:r>
      <w:r w:rsidR="00176418"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keeping adults healthy. Thanks for the informative response!</w:t>
      </w:r>
    </w:p>
    <w:p w:rsidR="00CE0443" w:rsidRPr="006847A0" w:rsidRDefault="00CE0443" w:rsidP="006847A0">
      <w:pPr>
        <w:spacing w:after="0" w:line="480" w:lineRule="auto"/>
        <w:jc w:val="center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6847A0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References</w:t>
      </w:r>
    </w:p>
    <w:p w:rsidR="00CE0443" w:rsidRPr="006847A0" w:rsidRDefault="00CE0443" w:rsidP="006847A0">
      <w:pPr>
        <w:spacing w:after="0" w:line="480" w:lineRule="auto"/>
        <w:ind w:left="720" w:hanging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Melton, B., &amp; Romanchik-Cerpovicz, J. E. (2021). Collaborative opportunities of exercise and nutrition professionals with levels of disease prevention. ACSM’s Health &amp; Fitness Journal, 25(4), 19–24. </w:t>
      </w:r>
      <w:hyperlink r:id="rId4" w:history="1">
        <w:r w:rsidRPr="006847A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https://doi.org/10.1249/fit.0000000000000685</w:t>
        </w:r>
      </w:hyperlink>
      <w:r w:rsidRPr="006847A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D767F3" w:rsidRPr="006847A0" w:rsidRDefault="00D767F3" w:rsidP="006847A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47A0">
        <w:rPr>
          <w:rFonts w:ascii="Times New Roman" w:hAnsi="Times New Roman" w:cs="Times New Roman"/>
          <w:sz w:val="24"/>
          <w:szCs w:val="24"/>
        </w:rPr>
        <w:lastRenderedPageBreak/>
        <w:t>United States Preventive Service Task Force (USPSTF) (2022). Recommendations with A and B grade</w:t>
      </w:r>
      <w:r w:rsidR="006847A0" w:rsidRPr="006847A0">
        <w:rPr>
          <w:rFonts w:ascii="Times New Roman" w:hAnsi="Times New Roman" w:cs="Times New Roman"/>
          <w:sz w:val="24"/>
          <w:szCs w:val="24"/>
        </w:rPr>
        <w:t>s</w:t>
      </w:r>
      <w:r w:rsidRPr="006847A0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5" w:history="1">
        <w:r w:rsidRPr="006847A0">
          <w:rPr>
            <w:rStyle w:val="Hyperlink"/>
            <w:rFonts w:ascii="Times New Roman" w:hAnsi="Times New Roman" w:cs="Times New Roman"/>
            <w:sz w:val="24"/>
            <w:szCs w:val="24"/>
          </w:rPr>
          <w:t>https://www.uspreventiveservicestaskforce.org/uspstf/recommendation-topics/uspstf-a-and-b-recommendations</w:t>
        </w:r>
      </w:hyperlink>
      <w:r w:rsidRPr="006847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7F3" w:rsidRPr="006847A0" w:rsidRDefault="00D767F3" w:rsidP="006847A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7A0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="002219CB" w:rsidRPr="006847A0">
        <w:rPr>
          <w:rFonts w:ascii="Times New Roman" w:hAnsi="Times New Roman" w:cs="Times New Roman"/>
          <w:b/>
          <w:sz w:val="24"/>
          <w:szCs w:val="24"/>
        </w:rPr>
        <w:t>XYZ</w:t>
      </w:r>
    </w:p>
    <w:p w:rsidR="002219CB" w:rsidRPr="006847A0" w:rsidRDefault="002219CB" w:rsidP="006847A0">
      <w:pPr>
        <w:spacing w:after="0" w:line="480" w:lineRule="auto"/>
        <w:ind w:firstLine="720"/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</w:pPr>
      <w:r w:rsidRPr="006847A0">
        <w:rPr>
          <w:rFonts w:ascii="Times New Roman" w:hAnsi="Times New Roman" w:cs="Times New Roman"/>
          <w:sz w:val="24"/>
          <w:szCs w:val="24"/>
        </w:rPr>
        <w:t xml:space="preserve">Hello XYZ, appreciations for sharing </w:t>
      </w:r>
      <w:r w:rsidR="004B137D" w:rsidRPr="006847A0">
        <w:rPr>
          <w:rFonts w:ascii="Times New Roman" w:hAnsi="Times New Roman" w:cs="Times New Roman"/>
          <w:sz w:val="24"/>
          <w:szCs w:val="24"/>
        </w:rPr>
        <w:t xml:space="preserve">such an informative response to this week’s discussion post on </w:t>
      </w:r>
      <w:r w:rsidR="00FC2838" w:rsidRPr="006847A0">
        <w:rPr>
          <w:rFonts w:ascii="Times New Roman" w:hAnsi="Times New Roman" w:cs="Times New Roman"/>
          <w:sz w:val="24"/>
          <w:szCs w:val="24"/>
        </w:rPr>
        <w:t>making adults healthy. Screening is a paramo</w:t>
      </w:r>
      <w:r w:rsidR="006847A0" w:rsidRPr="006847A0">
        <w:rPr>
          <w:rFonts w:ascii="Times New Roman" w:hAnsi="Times New Roman" w:cs="Times New Roman"/>
          <w:sz w:val="24"/>
          <w:szCs w:val="24"/>
        </w:rPr>
        <w:t>u</w:t>
      </w:r>
      <w:r w:rsidR="00FC2838" w:rsidRPr="006847A0">
        <w:rPr>
          <w:rFonts w:ascii="Times New Roman" w:hAnsi="Times New Roman" w:cs="Times New Roman"/>
          <w:sz w:val="24"/>
          <w:szCs w:val="24"/>
        </w:rPr>
        <w:t xml:space="preserve">nt prevention strategy </w:t>
      </w:r>
      <w:r w:rsidR="006847A0" w:rsidRPr="006847A0">
        <w:rPr>
          <w:rFonts w:ascii="Times New Roman" w:hAnsi="Times New Roman" w:cs="Times New Roman"/>
          <w:sz w:val="24"/>
          <w:szCs w:val="24"/>
        </w:rPr>
        <w:t>for</w:t>
      </w:r>
      <w:r w:rsidR="00FC2838" w:rsidRPr="006847A0">
        <w:rPr>
          <w:rFonts w:ascii="Times New Roman" w:hAnsi="Times New Roman" w:cs="Times New Roman"/>
          <w:sz w:val="24"/>
          <w:szCs w:val="24"/>
        </w:rPr>
        <w:t xml:space="preserve"> disease prevention and management and enables early preparation in combating diseases. One such intervention is secondary screening</w:t>
      </w:r>
      <w:r w:rsidR="006847A0" w:rsidRPr="006847A0">
        <w:rPr>
          <w:rFonts w:ascii="Times New Roman" w:hAnsi="Times New Roman" w:cs="Times New Roman"/>
          <w:sz w:val="24"/>
          <w:szCs w:val="24"/>
        </w:rPr>
        <w:t>,</w:t>
      </w:r>
      <w:r w:rsidR="00FC2838" w:rsidRPr="006847A0">
        <w:rPr>
          <w:rFonts w:ascii="Times New Roman" w:hAnsi="Times New Roman" w:cs="Times New Roman"/>
          <w:sz w:val="24"/>
          <w:szCs w:val="24"/>
        </w:rPr>
        <w:t xml:space="preserve"> d</w:t>
      </w:r>
      <w:r w:rsidR="006847A0" w:rsidRPr="006847A0">
        <w:rPr>
          <w:rFonts w:ascii="Times New Roman" w:hAnsi="Times New Roman" w:cs="Times New Roman"/>
          <w:sz w:val="24"/>
          <w:szCs w:val="24"/>
        </w:rPr>
        <w:t>e</w:t>
      </w:r>
      <w:r w:rsidR="00FC2838" w:rsidRPr="006847A0">
        <w:rPr>
          <w:rFonts w:ascii="Times New Roman" w:hAnsi="Times New Roman" w:cs="Times New Roman"/>
          <w:sz w:val="24"/>
          <w:szCs w:val="24"/>
        </w:rPr>
        <w:t xml:space="preserve">fined as a </w:t>
      </w:r>
      <w:r w:rsidR="00FC2838" w:rsidRPr="006847A0">
        <w:rPr>
          <w:rFonts w:ascii="Times New Roman" w:hAnsi="Times New Roman" w:cs="Times New Roman"/>
          <w:sz w:val="24"/>
          <w:szCs w:val="24"/>
        </w:rPr>
        <w:t>screening to identify disease in the earliest stages, before the onset of signs and symptoms.</w:t>
      </w:r>
      <w:r w:rsidR="00053C02" w:rsidRPr="006847A0">
        <w:rPr>
          <w:rFonts w:ascii="Times New Roman" w:hAnsi="Times New Roman" w:cs="Times New Roman"/>
          <w:sz w:val="24"/>
          <w:szCs w:val="24"/>
        </w:rPr>
        <w:t xml:space="preserve"> </w:t>
      </w:r>
      <w:r w:rsidR="006847A0" w:rsidRPr="006847A0">
        <w:rPr>
          <w:rFonts w:ascii="Times New Roman" w:hAnsi="Times New Roman" w:cs="Times New Roman"/>
          <w:sz w:val="24"/>
          <w:szCs w:val="24"/>
        </w:rPr>
        <w:t>S</w:t>
      </w:r>
      <w:r w:rsidR="00053C02" w:rsidRPr="006847A0">
        <w:rPr>
          <w:rFonts w:ascii="Times New Roman" w:hAnsi="Times New Roman" w:cs="Times New Roman"/>
          <w:sz w:val="24"/>
          <w:szCs w:val="24"/>
        </w:rPr>
        <w:t xml:space="preserve">econdary screening strategies include </w:t>
      </w:r>
      <w:r w:rsidR="00053C02" w:rsidRPr="006847A0">
        <w:rPr>
          <w:rFonts w:ascii="Times New Roman" w:hAnsi="Times New Roman" w:cs="Times New Roman"/>
          <w:sz w:val="24"/>
          <w:szCs w:val="24"/>
        </w:rPr>
        <w:t xml:space="preserve">mammography, colonoscopy, </w:t>
      </w:r>
      <w:r w:rsidR="006847A0" w:rsidRPr="006847A0">
        <w:rPr>
          <w:rFonts w:ascii="Times New Roman" w:hAnsi="Times New Roman" w:cs="Times New Roman"/>
          <w:sz w:val="24"/>
          <w:szCs w:val="24"/>
        </w:rPr>
        <w:t xml:space="preserve">and </w:t>
      </w:r>
      <w:r w:rsidR="00053C02" w:rsidRPr="006847A0">
        <w:rPr>
          <w:rFonts w:ascii="Times New Roman" w:hAnsi="Times New Roman" w:cs="Times New Roman"/>
          <w:sz w:val="24"/>
          <w:szCs w:val="24"/>
        </w:rPr>
        <w:t>regular blood pressure check to monitor high blood pressure</w:t>
      </w:r>
      <w:r w:rsidR="00053C02" w:rsidRPr="006847A0">
        <w:rPr>
          <w:rFonts w:ascii="Times New Roman" w:hAnsi="Times New Roman" w:cs="Times New Roman"/>
          <w:sz w:val="24"/>
          <w:szCs w:val="24"/>
        </w:rPr>
        <w:t>. Considering the high morbid</w:t>
      </w:r>
      <w:r w:rsidR="006847A0" w:rsidRPr="006847A0">
        <w:rPr>
          <w:rFonts w:ascii="Times New Roman" w:hAnsi="Times New Roman" w:cs="Times New Roman"/>
          <w:sz w:val="24"/>
          <w:szCs w:val="24"/>
        </w:rPr>
        <w:t>it</w:t>
      </w:r>
      <w:r w:rsidR="00053C02" w:rsidRPr="006847A0">
        <w:rPr>
          <w:rFonts w:ascii="Times New Roman" w:hAnsi="Times New Roman" w:cs="Times New Roman"/>
          <w:sz w:val="24"/>
          <w:szCs w:val="24"/>
        </w:rPr>
        <w:t xml:space="preserve">y and mortality rates linked to </w:t>
      </w:r>
      <w:r w:rsidR="00CD63DE" w:rsidRPr="006847A0">
        <w:rPr>
          <w:rFonts w:ascii="Times New Roman" w:hAnsi="Times New Roman" w:cs="Times New Roman"/>
          <w:sz w:val="24"/>
          <w:szCs w:val="24"/>
        </w:rPr>
        <w:t>diseases</w:t>
      </w:r>
      <w:r w:rsidR="006847A0" w:rsidRPr="006847A0">
        <w:rPr>
          <w:rFonts w:ascii="Times New Roman" w:hAnsi="Times New Roman" w:cs="Times New Roman"/>
          <w:sz w:val="24"/>
          <w:szCs w:val="24"/>
        </w:rPr>
        <w:t>,</w:t>
      </w:r>
      <w:r w:rsidR="00CD63DE" w:rsidRPr="006847A0">
        <w:rPr>
          <w:rFonts w:ascii="Times New Roman" w:hAnsi="Times New Roman" w:cs="Times New Roman"/>
          <w:sz w:val="24"/>
          <w:szCs w:val="24"/>
        </w:rPr>
        <w:t xml:space="preserve"> including cancer</w:t>
      </w:r>
      <w:r w:rsidR="006847A0" w:rsidRPr="006847A0">
        <w:rPr>
          <w:rFonts w:ascii="Times New Roman" w:hAnsi="Times New Roman" w:cs="Times New Roman"/>
          <w:sz w:val="24"/>
          <w:szCs w:val="24"/>
        </w:rPr>
        <w:t>,</w:t>
      </w:r>
      <w:r w:rsidR="00CD63DE" w:rsidRPr="006847A0">
        <w:rPr>
          <w:rFonts w:ascii="Times New Roman" w:hAnsi="Times New Roman" w:cs="Times New Roman"/>
          <w:sz w:val="24"/>
          <w:szCs w:val="24"/>
        </w:rPr>
        <w:t xml:space="preserve"> among other chronic diseases, the </w:t>
      </w:r>
      <w:r w:rsidR="00CD63DE" w:rsidRPr="006847A0">
        <w:rPr>
          <w:rFonts w:ascii="Times New Roman" w:hAnsi="Times New Roman" w:cs="Times New Roman"/>
          <w:sz w:val="24"/>
          <w:szCs w:val="24"/>
        </w:rPr>
        <w:t xml:space="preserve">United States Preventive Services Task Force (USPSTF), American Cancer Society, </w:t>
      </w:r>
      <w:r w:rsidR="006847A0" w:rsidRPr="006847A0">
        <w:rPr>
          <w:rFonts w:ascii="Times New Roman" w:hAnsi="Times New Roman" w:cs="Times New Roman"/>
          <w:sz w:val="24"/>
          <w:szCs w:val="24"/>
        </w:rPr>
        <w:t xml:space="preserve">and </w:t>
      </w:r>
      <w:r w:rsidR="00CD63DE" w:rsidRPr="006847A0">
        <w:rPr>
          <w:rFonts w:ascii="Times New Roman" w:hAnsi="Times New Roman" w:cs="Times New Roman"/>
          <w:sz w:val="24"/>
          <w:szCs w:val="24"/>
        </w:rPr>
        <w:t xml:space="preserve">Center for </w:t>
      </w:r>
      <w:r w:rsidR="006847A0" w:rsidRPr="006847A0">
        <w:rPr>
          <w:rFonts w:ascii="Times New Roman" w:hAnsi="Times New Roman" w:cs="Times New Roman"/>
          <w:sz w:val="24"/>
          <w:szCs w:val="24"/>
        </w:rPr>
        <w:t>D</w:t>
      </w:r>
      <w:r w:rsidR="00CD63DE" w:rsidRPr="006847A0">
        <w:rPr>
          <w:rFonts w:ascii="Times New Roman" w:hAnsi="Times New Roman" w:cs="Times New Roman"/>
          <w:sz w:val="24"/>
          <w:szCs w:val="24"/>
        </w:rPr>
        <w:t>isease Control (CDC)</w:t>
      </w:r>
      <w:r w:rsidR="00CD63DE" w:rsidRPr="006847A0">
        <w:rPr>
          <w:rFonts w:ascii="Times New Roman" w:hAnsi="Times New Roman" w:cs="Times New Roman"/>
          <w:sz w:val="24"/>
          <w:szCs w:val="24"/>
        </w:rPr>
        <w:t xml:space="preserve"> offer screening recommendations for each disease. </w:t>
      </w:r>
      <w:r w:rsidR="00CD63DE" w:rsidRPr="006847A0">
        <w:rPr>
          <w:rFonts w:ascii="Times New Roman" w:hAnsi="Times New Roman" w:cs="Times New Roman"/>
          <w:sz w:val="24"/>
          <w:szCs w:val="24"/>
        </w:rPr>
        <w:t xml:space="preserve">According to Nagy et al. (2016), The introduction of screening programs </w:t>
      </w:r>
      <w:r w:rsidR="006847A0" w:rsidRPr="006847A0">
        <w:rPr>
          <w:rFonts w:ascii="Times New Roman" w:hAnsi="Times New Roman" w:cs="Times New Roman"/>
          <w:sz w:val="24"/>
          <w:szCs w:val="24"/>
        </w:rPr>
        <w:t>increased</w:t>
      </w:r>
      <w:r w:rsidR="00CD63DE" w:rsidRPr="006847A0">
        <w:rPr>
          <w:rFonts w:ascii="Times New Roman" w:hAnsi="Times New Roman" w:cs="Times New Roman"/>
          <w:sz w:val="24"/>
          <w:szCs w:val="24"/>
        </w:rPr>
        <w:t xml:space="preserve"> the proportion of diagnosed patients enabling a prolonged life expectancy. In a cancer statistic shown by the National Cancer Institute updated (2018)</w:t>
      </w:r>
      <w:r w:rsidR="006847A0" w:rsidRPr="006847A0">
        <w:rPr>
          <w:rFonts w:ascii="Times New Roman" w:hAnsi="Times New Roman" w:cs="Times New Roman"/>
          <w:sz w:val="24"/>
          <w:szCs w:val="24"/>
        </w:rPr>
        <w:t>,</w:t>
      </w:r>
      <w:r w:rsidR="00CD63DE" w:rsidRPr="006847A0">
        <w:rPr>
          <w:rFonts w:ascii="Times New Roman" w:hAnsi="Times New Roman" w:cs="Times New Roman"/>
          <w:sz w:val="24"/>
          <w:szCs w:val="24"/>
        </w:rPr>
        <w:t xml:space="preserve"> a 5year survival rate </w:t>
      </w:r>
      <w:r w:rsidR="006847A0" w:rsidRPr="006847A0">
        <w:rPr>
          <w:rFonts w:ascii="Times New Roman" w:hAnsi="Times New Roman" w:cs="Times New Roman"/>
          <w:sz w:val="24"/>
          <w:szCs w:val="24"/>
        </w:rPr>
        <w:t xml:space="preserve">was high among patients whose diagnoses were through screening compared to patients whose diagnoses were made when signs and symptoms were </w:t>
      </w:r>
      <w:r w:rsidR="00CD63DE" w:rsidRPr="006847A0">
        <w:rPr>
          <w:rFonts w:ascii="Times New Roman" w:hAnsi="Times New Roman" w:cs="Times New Roman"/>
          <w:sz w:val="24"/>
          <w:szCs w:val="24"/>
        </w:rPr>
        <w:t>evidenced.</w:t>
      </w:r>
      <w:r w:rsidR="00CD63DE" w:rsidRPr="006847A0">
        <w:rPr>
          <w:rFonts w:ascii="Times New Roman" w:hAnsi="Times New Roman" w:cs="Times New Roman"/>
          <w:sz w:val="24"/>
          <w:szCs w:val="24"/>
        </w:rPr>
        <w:t xml:space="preserve"> As such, </w:t>
      </w:r>
      <w:r w:rsidR="006847A0" w:rsidRPr="006847A0">
        <w:rPr>
          <w:rFonts w:ascii="Times New Roman" w:hAnsi="Times New Roman" w:cs="Times New Roman"/>
          <w:sz w:val="24"/>
          <w:szCs w:val="24"/>
        </w:rPr>
        <w:t>numerous benefits are linked to the screening of different health conditions,</w:t>
      </w:r>
      <w:r w:rsidR="00CD63DE" w:rsidRPr="006847A0">
        <w:rPr>
          <w:rFonts w:ascii="Times New Roman" w:hAnsi="Times New Roman" w:cs="Times New Roman"/>
          <w:sz w:val="24"/>
          <w:szCs w:val="24"/>
        </w:rPr>
        <w:t xml:space="preserve"> including reduced mortality rates. </w:t>
      </w:r>
      <w:r w:rsidR="000774B5" w:rsidRPr="006847A0">
        <w:rPr>
          <w:rFonts w:ascii="Times New Roman" w:hAnsi="Times New Roman" w:cs="Times New Roman"/>
          <w:sz w:val="24"/>
          <w:szCs w:val="24"/>
        </w:rPr>
        <w:t xml:space="preserve">A study by </w:t>
      </w:r>
      <w:r w:rsidR="000774B5" w:rsidRPr="00684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Tabár</w:t>
      </w:r>
      <w:r w:rsidR="000774B5" w:rsidRPr="00684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(2015) noted that </w:t>
      </w:r>
      <w:r w:rsidR="00244BD9" w:rsidRPr="006847A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mammography screening</w:t>
      </w:r>
      <w:r w:rsidR="00244BD9" w:rsidRPr="006847A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 </w:t>
      </w:r>
      <w:r w:rsidR="006847A0" w:rsidRPr="006847A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helps reduce</w:t>
      </w:r>
      <w:r w:rsidR="00244BD9" w:rsidRPr="006847A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 breast cancer mortality</w:t>
      </w:r>
      <w:r w:rsidR="006847A0" w:rsidRPr="006847A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,</w:t>
      </w:r>
      <w:r w:rsidR="00244BD9" w:rsidRPr="006847A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 with screening programs that </w:t>
      </w:r>
      <w:r w:rsidR="006847A0" w:rsidRPr="006847A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effectively reduce</w:t>
      </w:r>
      <w:r w:rsidR="00244BD9" w:rsidRPr="006847A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 advanced</w:t>
      </w:r>
      <w:r w:rsidR="006847A0" w:rsidRPr="006847A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-</w:t>
      </w:r>
      <w:r w:rsidR="00244BD9" w:rsidRPr="006847A0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stage breast cancer having substantially greater mortality reductions.</w:t>
      </w:r>
    </w:p>
    <w:p w:rsidR="00244BD9" w:rsidRPr="006847A0" w:rsidRDefault="00244BD9" w:rsidP="006847A0">
      <w:pPr>
        <w:spacing w:after="0" w:line="480" w:lineRule="auto"/>
        <w:jc w:val="center"/>
        <w:rPr>
          <w:rFonts w:ascii="Times New Roman" w:hAnsi="Times New Roman" w:cs="Times New Roman"/>
          <w:b/>
          <w:color w:val="1C1D1E"/>
          <w:sz w:val="24"/>
          <w:szCs w:val="24"/>
          <w:shd w:val="clear" w:color="auto" w:fill="FFFFFF"/>
        </w:rPr>
      </w:pPr>
      <w:r w:rsidRPr="006847A0">
        <w:rPr>
          <w:rFonts w:ascii="Times New Roman" w:hAnsi="Times New Roman" w:cs="Times New Roman"/>
          <w:b/>
          <w:color w:val="1C1D1E"/>
          <w:sz w:val="24"/>
          <w:szCs w:val="24"/>
          <w:shd w:val="clear" w:color="auto" w:fill="FFFFFF"/>
        </w:rPr>
        <w:lastRenderedPageBreak/>
        <w:t>References</w:t>
      </w:r>
    </w:p>
    <w:p w:rsidR="00DE5099" w:rsidRPr="006847A0" w:rsidRDefault="00DE5099" w:rsidP="006847A0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4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Nagy, B., Zsólyom, A., Nagyjánosi, L., Merész, G., Steiner, T., Papp, E., Dessewffy, Z., Jermendy, G., Winkler, G., Kaló, Z., &amp; Vokó, Z. (2016). Cost-effectiveness of a risk-based secondary screening programme of type 2 diabetes. Diabetes/metabolism research and reviews, 32(7), 710–729. </w:t>
      </w:r>
      <w:hyperlink r:id="rId6" w:history="1">
        <w:r w:rsidRPr="006847A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https://doi.org/10.1002/dmrr.2791</w:t>
        </w:r>
      </w:hyperlink>
      <w:r w:rsidRPr="00684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E5099" w:rsidRPr="006847A0" w:rsidRDefault="00DE5099" w:rsidP="006847A0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4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Tabár, L., Yen, A. M. F., Wu, W. Y. Y., Chen, S. L. S., Chiu, S. Y. H., Fann, J. C. Y., ... &amp; Chen, T. H. H. (2015). Insights from the breast cancer screening trials: how screening affects the natural history of breast cancer and implications for evaluating service screening programs. </w:t>
      </w:r>
      <w:r w:rsidRPr="00684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breast journal</w:t>
      </w:r>
      <w:r w:rsidRPr="00684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847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684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13-20.</w:t>
      </w:r>
      <w:r w:rsidRPr="006847A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847A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https://doi.org/10.1111/tbj.12354</w:t>
        </w:r>
      </w:hyperlink>
      <w:r w:rsidRPr="006847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E5099" w:rsidRPr="006847A0" w:rsidRDefault="00DE5099" w:rsidP="006847A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47A0">
        <w:rPr>
          <w:rFonts w:ascii="Times New Roman" w:hAnsi="Times New Roman" w:cs="Times New Roman"/>
          <w:sz w:val="24"/>
          <w:szCs w:val="24"/>
        </w:rPr>
        <w:t xml:space="preserve">United States Preventive Service Task Force (USPSTF) (2022). Recommendations with A and B grade. Retrieved from: </w:t>
      </w:r>
      <w:hyperlink r:id="rId8" w:history="1">
        <w:r w:rsidRPr="006847A0">
          <w:rPr>
            <w:rStyle w:val="Hyperlink"/>
            <w:rFonts w:ascii="Times New Roman" w:hAnsi="Times New Roman" w:cs="Times New Roman"/>
            <w:sz w:val="24"/>
            <w:szCs w:val="24"/>
          </w:rPr>
          <w:t>https://www.uspreventiveservicestaskforce.org/uspstf/recommendation-topics/uspstf-a-and-b-recommendations</w:t>
        </w:r>
      </w:hyperlink>
      <w:r w:rsidRPr="006847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5099" w:rsidRPr="00684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1MjYyMDI1NjI1szRR0lEKTi0uzszPAykwrAUANd83OywAAAA="/>
  </w:docVars>
  <w:rsids>
    <w:rsidRoot w:val="002407D7"/>
    <w:rsid w:val="000140FE"/>
    <w:rsid w:val="00053C02"/>
    <w:rsid w:val="000774B5"/>
    <w:rsid w:val="00176418"/>
    <w:rsid w:val="001802C2"/>
    <w:rsid w:val="00217E6C"/>
    <w:rsid w:val="002219CB"/>
    <w:rsid w:val="002407D7"/>
    <w:rsid w:val="00244BD9"/>
    <w:rsid w:val="004B137D"/>
    <w:rsid w:val="006847A0"/>
    <w:rsid w:val="00863FC8"/>
    <w:rsid w:val="00A1567A"/>
    <w:rsid w:val="00C24245"/>
    <w:rsid w:val="00C51CFA"/>
    <w:rsid w:val="00CA5883"/>
    <w:rsid w:val="00CD63DE"/>
    <w:rsid w:val="00CE0443"/>
    <w:rsid w:val="00D66605"/>
    <w:rsid w:val="00D767F3"/>
    <w:rsid w:val="00DA782D"/>
    <w:rsid w:val="00DE5099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26AB"/>
  <w15:chartTrackingRefBased/>
  <w15:docId w15:val="{154D0B63-8E59-4171-A7CC-1D896332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preventiveservicestaskforce.org/uspstf/recommendation-topics/uspstf-a-and-b-recommenda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1/tbj.123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dmrr.2791" TargetMode="External"/><Relationship Id="rId5" Type="http://schemas.openxmlformats.org/officeDocument/2006/relationships/hyperlink" Target="https://www.uspreventiveservicestaskforce.org/uspstf/recommendation-topics/uspstf-a-and-b-recommenda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249/fit.000000000000068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27</cp:revision>
  <dcterms:created xsi:type="dcterms:W3CDTF">2022-10-29T12:30:00Z</dcterms:created>
  <dcterms:modified xsi:type="dcterms:W3CDTF">2022-10-29T13:27:00Z</dcterms:modified>
</cp:coreProperties>
</file>