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A8CD" w14:textId="75D619B5" w:rsidR="002A106B" w:rsidRPr="002D51CD" w:rsidRDefault="00D56ABF" w:rsidP="002A106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Week 5 Discussion: </w:t>
      </w:r>
      <w:r w:rsidR="002D51CD">
        <w:rPr>
          <w:b/>
          <w:bCs/>
          <w:lang w:val="en-US"/>
        </w:rPr>
        <w:t>Evidence Synthesis</w:t>
      </w:r>
    </w:p>
    <w:p w14:paraId="305EF0F4" w14:textId="5A70E71E" w:rsidR="00D17319" w:rsidRDefault="00A81274" w:rsidP="002A106B">
      <w:pPr>
        <w:ind w:firstLine="720"/>
        <w:rPr>
          <w:lang w:val="en-US"/>
        </w:rPr>
      </w:pPr>
      <w:r>
        <w:rPr>
          <w:lang w:val="en-US"/>
        </w:rPr>
        <w:t xml:space="preserve">Stigma towards individuals with mental health problems remains a challenge, with mental health professionals also showing significant stigma towards the population. </w:t>
      </w:r>
      <w:r w:rsidR="001B01D1">
        <w:rPr>
          <w:lang w:val="en-US"/>
        </w:rPr>
        <w:t xml:space="preserve">The appendix illustrates Johns Hopkins Individual Evidence Summary table </w:t>
      </w:r>
      <w:r w:rsidR="00EB0EC6">
        <w:rPr>
          <w:lang w:val="en-US"/>
        </w:rPr>
        <w:t>for</w:t>
      </w:r>
      <w:r w:rsidR="001B01D1">
        <w:rPr>
          <w:lang w:val="en-US"/>
        </w:rPr>
        <w:t xml:space="preserve"> the studies.</w:t>
      </w:r>
      <w:r>
        <w:rPr>
          <w:lang w:val="en-US"/>
        </w:rPr>
        <w:t xml:space="preserve"> T</w:t>
      </w:r>
      <w:r w:rsidR="00100B6C">
        <w:rPr>
          <w:lang w:val="en-US"/>
        </w:rPr>
        <w:t>wo overar</w:t>
      </w:r>
      <w:r>
        <w:rPr>
          <w:lang w:val="en-US"/>
        </w:rPr>
        <w:t>ching themes emerged</w:t>
      </w:r>
      <w:r w:rsidR="006656BC">
        <w:rPr>
          <w:lang w:val="en-US"/>
        </w:rPr>
        <w:t>: stigmatizing attitudes and beliefs and effectiveness of training programs.</w:t>
      </w:r>
    </w:p>
    <w:p w14:paraId="29C98514" w14:textId="784D8938" w:rsidR="00924D48" w:rsidRPr="006656BC" w:rsidRDefault="00D17319" w:rsidP="006656BC">
      <w:pPr>
        <w:jc w:val="center"/>
        <w:rPr>
          <w:b/>
          <w:bCs/>
          <w:lang w:val="en-US"/>
        </w:rPr>
      </w:pPr>
      <w:r w:rsidRPr="006656BC">
        <w:rPr>
          <w:b/>
          <w:bCs/>
          <w:lang w:val="en-US"/>
        </w:rPr>
        <w:t>Stigmatizing attitudes and beliefs towards people with mental illness</w:t>
      </w:r>
    </w:p>
    <w:p w14:paraId="419422D9" w14:textId="784799EC" w:rsidR="00D17319" w:rsidRDefault="00320CC4" w:rsidP="006656BC">
      <w:pPr>
        <w:ind w:firstLine="720"/>
        <w:rPr>
          <w:lang w:val="en-US"/>
        </w:rPr>
      </w:pPr>
      <w:r>
        <w:rPr>
          <w:lang w:val="en-US"/>
        </w:rPr>
        <w:t xml:space="preserve">Healthcare professionals portray significant </w:t>
      </w:r>
      <w:r w:rsidR="006656BC">
        <w:rPr>
          <w:lang w:val="en-US"/>
        </w:rPr>
        <w:t>stigma towards individuals presenting with mental health problems</w:t>
      </w:r>
      <w:r w:rsidR="00345982">
        <w:rPr>
          <w:lang w:val="en-US"/>
        </w:rPr>
        <w:t>, as evidenced by maintaining social distance (</w:t>
      </w:r>
      <w:proofErr w:type="spellStart"/>
      <w:r w:rsidR="00345982">
        <w:rPr>
          <w:lang w:val="en-US"/>
        </w:rPr>
        <w:t>Eiroa-Orosa</w:t>
      </w:r>
      <w:proofErr w:type="spellEnd"/>
      <w:r w:rsidR="00345982">
        <w:rPr>
          <w:lang w:val="en-US"/>
        </w:rPr>
        <w:t xml:space="preserve"> et al., 2021; </w:t>
      </w:r>
      <w:proofErr w:type="spellStart"/>
      <w:r w:rsidR="00345982">
        <w:rPr>
          <w:lang w:val="en-US"/>
        </w:rPr>
        <w:t>Kohrt</w:t>
      </w:r>
      <w:proofErr w:type="spellEnd"/>
      <w:r w:rsidR="00345982">
        <w:rPr>
          <w:lang w:val="en-US"/>
        </w:rPr>
        <w:t xml:space="preserve"> et al., 2021</w:t>
      </w:r>
      <w:r w:rsidR="009A3647">
        <w:rPr>
          <w:lang w:val="en-US"/>
        </w:rPr>
        <w:t xml:space="preserve">; </w:t>
      </w:r>
      <w:r w:rsidR="009A3647">
        <w:rPr>
          <w:lang w:val="en-US"/>
        </w:rPr>
        <w:t>Lagunes-Cordoba et al., 2021</w:t>
      </w:r>
      <w:r w:rsidR="00345982">
        <w:rPr>
          <w:lang w:val="en-US"/>
        </w:rPr>
        <w:t xml:space="preserve">). </w:t>
      </w:r>
      <w:r w:rsidR="00C27DF1">
        <w:rPr>
          <w:lang w:val="en-US"/>
        </w:rPr>
        <w:t xml:space="preserve">As supported by </w:t>
      </w:r>
      <w:proofErr w:type="spellStart"/>
      <w:r w:rsidR="00C27DF1">
        <w:rPr>
          <w:lang w:val="en-US"/>
        </w:rPr>
        <w:t>Eiroa-Orosa</w:t>
      </w:r>
      <w:proofErr w:type="spellEnd"/>
      <w:r w:rsidR="00C27DF1">
        <w:rPr>
          <w:lang w:val="en-US"/>
        </w:rPr>
        <w:t xml:space="preserve"> et al. (2021) and </w:t>
      </w:r>
      <w:proofErr w:type="spellStart"/>
      <w:r w:rsidR="00C27DF1">
        <w:rPr>
          <w:lang w:val="en-US"/>
        </w:rPr>
        <w:t>Kohrt</w:t>
      </w:r>
      <w:proofErr w:type="spellEnd"/>
      <w:r w:rsidR="00C27DF1">
        <w:rPr>
          <w:lang w:val="en-US"/>
        </w:rPr>
        <w:t xml:space="preserve"> et al. (2021), keeping a social distance</w:t>
      </w:r>
      <w:r w:rsidR="004727DB">
        <w:rPr>
          <w:lang w:val="en-US"/>
        </w:rPr>
        <w:t xml:space="preserve"> with individuals with mental health problems leads to low willingness to work with this population. Similarly, Lagunes-Cordoba et al. (2021) found that many patients felt that healthcare professionals were cold and distant. </w:t>
      </w:r>
      <w:r w:rsidR="009A69B3">
        <w:rPr>
          <w:lang w:val="en-US"/>
        </w:rPr>
        <w:t>Often, the stigmatizing attitudes are associated with suboptimal care</w:t>
      </w:r>
      <w:r w:rsidR="000854E3">
        <w:rPr>
          <w:lang w:val="en-US"/>
        </w:rPr>
        <w:t>. For example, Lagunes-Cordoba et al. (2021) found t</w:t>
      </w:r>
      <w:r w:rsidR="009E0338">
        <w:rPr>
          <w:lang w:val="en-US"/>
        </w:rPr>
        <w:t xml:space="preserve">hat the attitudes led to lack of clear communication with patients pertinent to the reasons for giving medication and expected length of treatment, while </w:t>
      </w:r>
      <w:proofErr w:type="spellStart"/>
      <w:r w:rsidR="009E0338">
        <w:rPr>
          <w:lang w:val="en-US"/>
        </w:rPr>
        <w:t>Kohrt</w:t>
      </w:r>
      <w:proofErr w:type="spellEnd"/>
      <w:r w:rsidR="009E0338">
        <w:rPr>
          <w:lang w:val="en-US"/>
        </w:rPr>
        <w:t xml:space="preserve"> et al. (2021) associated it with low diagnostic accuracy. </w:t>
      </w:r>
      <w:r w:rsidR="007333E7">
        <w:rPr>
          <w:lang w:val="en-US"/>
        </w:rPr>
        <w:t>In addition, the evidence agrees that the stigmatizing attitudes results in discriminatory practices (</w:t>
      </w:r>
      <w:proofErr w:type="spellStart"/>
      <w:r w:rsidR="007333E7">
        <w:rPr>
          <w:lang w:val="en-US"/>
        </w:rPr>
        <w:t>Eiroa-Orosa</w:t>
      </w:r>
      <w:proofErr w:type="spellEnd"/>
      <w:r w:rsidR="007333E7">
        <w:rPr>
          <w:lang w:val="en-US"/>
        </w:rPr>
        <w:t xml:space="preserve"> et al.</w:t>
      </w:r>
      <w:r w:rsidR="007333E7">
        <w:rPr>
          <w:lang w:val="en-US"/>
        </w:rPr>
        <w:t xml:space="preserve">, </w:t>
      </w:r>
      <w:r w:rsidR="007333E7">
        <w:rPr>
          <w:lang w:val="en-US"/>
        </w:rPr>
        <w:t>2021</w:t>
      </w:r>
      <w:r w:rsidR="007333E7">
        <w:rPr>
          <w:lang w:val="en-US"/>
        </w:rPr>
        <w:t xml:space="preserve">, Lagunes-Cordoba et al., 2021; </w:t>
      </w:r>
      <w:proofErr w:type="spellStart"/>
      <w:r w:rsidR="007333E7">
        <w:rPr>
          <w:lang w:val="en-US"/>
        </w:rPr>
        <w:t>Kohrt</w:t>
      </w:r>
      <w:proofErr w:type="spellEnd"/>
      <w:r w:rsidR="007333E7">
        <w:rPr>
          <w:lang w:val="en-US"/>
        </w:rPr>
        <w:t xml:space="preserve"> et al., 2021). </w:t>
      </w:r>
      <w:r w:rsidR="00A2538B">
        <w:rPr>
          <w:lang w:val="en-US"/>
        </w:rPr>
        <w:t>Conclusively, the studies show that stigma remains a concerning problem among healthcare professionals.</w:t>
      </w:r>
    </w:p>
    <w:p w14:paraId="49163ECE" w14:textId="2DC0ABF9" w:rsidR="00A2538B" w:rsidRPr="00A2538B" w:rsidRDefault="00A2538B" w:rsidP="00A2538B">
      <w:pPr>
        <w:jc w:val="center"/>
        <w:rPr>
          <w:b/>
          <w:bCs/>
          <w:lang w:val="en-US"/>
        </w:rPr>
      </w:pPr>
      <w:r w:rsidRPr="00A2538B">
        <w:rPr>
          <w:b/>
          <w:bCs/>
          <w:lang w:val="en-US"/>
        </w:rPr>
        <w:t>Effectiveness of Training Programs</w:t>
      </w:r>
    </w:p>
    <w:p w14:paraId="53923776" w14:textId="39EA8F07" w:rsidR="00A2538B" w:rsidRDefault="00A2538B" w:rsidP="006656BC">
      <w:pPr>
        <w:ind w:firstLine="720"/>
        <w:rPr>
          <w:lang w:val="en-US"/>
        </w:rPr>
      </w:pPr>
      <w:r>
        <w:rPr>
          <w:lang w:val="en-US"/>
        </w:rPr>
        <w:t>Training programs serve a crucial role in reducing stigma towards mental illness</w:t>
      </w:r>
      <w:r w:rsidR="00127F8E">
        <w:rPr>
          <w:lang w:val="en-US"/>
        </w:rPr>
        <w:t xml:space="preserve"> (</w:t>
      </w:r>
      <w:proofErr w:type="spellStart"/>
      <w:r w:rsidR="00127F8E">
        <w:rPr>
          <w:lang w:val="en-US"/>
        </w:rPr>
        <w:t>Eiroa-Orosa</w:t>
      </w:r>
      <w:proofErr w:type="spellEnd"/>
      <w:r w:rsidR="00127F8E">
        <w:rPr>
          <w:lang w:val="en-US"/>
        </w:rPr>
        <w:t xml:space="preserve"> et al.</w:t>
      </w:r>
      <w:r w:rsidR="00127F8E">
        <w:rPr>
          <w:lang w:val="en-US"/>
        </w:rPr>
        <w:t xml:space="preserve">, </w:t>
      </w:r>
      <w:r w:rsidR="00127F8E">
        <w:rPr>
          <w:lang w:val="en-US"/>
        </w:rPr>
        <w:t>2021</w:t>
      </w:r>
      <w:r w:rsidR="00127F8E">
        <w:rPr>
          <w:lang w:val="en-US"/>
        </w:rPr>
        <w:t>;</w:t>
      </w:r>
      <w:r w:rsidR="009A3647">
        <w:rPr>
          <w:lang w:val="en-US"/>
        </w:rPr>
        <w:t xml:space="preserve"> </w:t>
      </w:r>
      <w:proofErr w:type="spellStart"/>
      <w:r w:rsidR="00127F8E">
        <w:rPr>
          <w:lang w:val="en-US"/>
        </w:rPr>
        <w:t>Kohrt</w:t>
      </w:r>
      <w:proofErr w:type="spellEnd"/>
      <w:r w:rsidR="00127F8E">
        <w:rPr>
          <w:lang w:val="en-US"/>
        </w:rPr>
        <w:t xml:space="preserve"> et al., 2021</w:t>
      </w:r>
      <w:r w:rsidR="009D0F22">
        <w:rPr>
          <w:lang w:val="en-US"/>
        </w:rPr>
        <w:t xml:space="preserve">; </w:t>
      </w:r>
      <w:r w:rsidR="009D0F22">
        <w:rPr>
          <w:lang w:val="en-US"/>
        </w:rPr>
        <w:t>Lagunes-Cordoba et al., 2021</w:t>
      </w:r>
      <w:r w:rsidR="00127F8E">
        <w:rPr>
          <w:lang w:val="en-US"/>
        </w:rPr>
        <w:t xml:space="preserve">). Indeed, Lagunes-Cordoba et al. (2021) recommends awareness-creation and formal training as crucial approaches to reducing </w:t>
      </w:r>
      <w:r w:rsidR="009D0F22">
        <w:rPr>
          <w:lang w:val="en-US"/>
        </w:rPr>
        <w:t xml:space="preserve">stigma. Following training, healthcare professionals portray significant reductions in </w:t>
      </w:r>
      <w:r w:rsidR="009D0F22">
        <w:rPr>
          <w:lang w:val="en-US"/>
        </w:rPr>
        <w:lastRenderedPageBreak/>
        <w:t>social distancing</w:t>
      </w:r>
      <w:r w:rsidR="001B4680">
        <w:rPr>
          <w:lang w:val="en-US"/>
        </w:rPr>
        <w:t xml:space="preserve"> and improving knowledge about mental health stigma</w:t>
      </w:r>
      <w:r w:rsidR="009D0F22">
        <w:rPr>
          <w:lang w:val="en-US"/>
        </w:rPr>
        <w:t xml:space="preserve"> (</w:t>
      </w:r>
      <w:proofErr w:type="spellStart"/>
      <w:r w:rsidR="009D0F22">
        <w:rPr>
          <w:lang w:val="en-US"/>
        </w:rPr>
        <w:t>Eiroa-Orosa</w:t>
      </w:r>
      <w:proofErr w:type="spellEnd"/>
      <w:r w:rsidR="009D0F22">
        <w:rPr>
          <w:lang w:val="en-US"/>
        </w:rPr>
        <w:t xml:space="preserve"> et al.</w:t>
      </w:r>
      <w:r w:rsidR="009D0F22">
        <w:rPr>
          <w:lang w:val="en-US"/>
        </w:rPr>
        <w:t xml:space="preserve">, </w:t>
      </w:r>
      <w:r w:rsidR="009D0F22">
        <w:rPr>
          <w:lang w:val="en-US"/>
        </w:rPr>
        <w:t>2021</w:t>
      </w:r>
      <w:r w:rsidR="009D0F22">
        <w:rPr>
          <w:lang w:val="en-US"/>
        </w:rPr>
        <w:t xml:space="preserve">; </w:t>
      </w:r>
      <w:proofErr w:type="spellStart"/>
      <w:r w:rsidR="009D0F22">
        <w:rPr>
          <w:lang w:val="en-US"/>
        </w:rPr>
        <w:t>Kohrt</w:t>
      </w:r>
      <w:proofErr w:type="spellEnd"/>
      <w:r w:rsidR="009D0F22">
        <w:rPr>
          <w:lang w:val="en-US"/>
        </w:rPr>
        <w:t xml:space="preserve"> et al., 2021).</w:t>
      </w:r>
      <w:r w:rsidR="001B4680">
        <w:rPr>
          <w:lang w:val="en-US"/>
        </w:rPr>
        <w:t xml:space="preserve"> </w:t>
      </w:r>
      <w:r w:rsidR="00E377BE">
        <w:rPr>
          <w:lang w:val="en-US"/>
        </w:rPr>
        <w:t>Moreover</w:t>
      </w:r>
      <w:r w:rsidR="001B4680">
        <w:rPr>
          <w:lang w:val="en-US"/>
        </w:rPr>
        <w:t>, the evidence shows the importance of collaborating with service users in developing the training programs</w:t>
      </w:r>
      <w:r w:rsidR="002A106B">
        <w:rPr>
          <w:lang w:val="en-US"/>
        </w:rPr>
        <w:t xml:space="preserve"> to address specific knowledge gaps.</w:t>
      </w:r>
    </w:p>
    <w:p w14:paraId="767DD748" w14:textId="6AD71894" w:rsidR="00EB0EC6" w:rsidRDefault="00EB0EC6" w:rsidP="00EB0EC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Discussion</w:t>
      </w:r>
    </w:p>
    <w:p w14:paraId="58D6E644" w14:textId="102D7D49" w:rsidR="00EB0EC6" w:rsidRDefault="00EB0EC6" w:rsidP="006656BC">
      <w:pPr>
        <w:ind w:firstLine="720"/>
        <w:rPr>
          <w:lang w:val="en-US"/>
        </w:rPr>
      </w:pPr>
      <w:r>
        <w:rPr>
          <w:lang w:val="en-US"/>
        </w:rPr>
        <w:t>Stigmatizing attitudes and beliefs among healthcare professionals poses a significant chall</w:t>
      </w:r>
      <w:r w:rsidR="00D01183">
        <w:rPr>
          <w:lang w:val="en-US"/>
        </w:rPr>
        <w:t xml:space="preserve">enge in ensuring optimal care. </w:t>
      </w:r>
      <w:r w:rsidR="00586DC6">
        <w:rPr>
          <w:lang w:val="en-US"/>
        </w:rPr>
        <w:t xml:space="preserve">As revealed, healthcare professionals tend to show distance and coldness towards patients with mental health problems. </w:t>
      </w:r>
      <w:r w:rsidR="00980E85">
        <w:rPr>
          <w:lang w:val="en-US"/>
        </w:rPr>
        <w:t xml:space="preserve">In turn, this leads to poor communication with the patients and discriminatory practices. However, training programs aimed at raising awareness and knowledge could address the problem. </w:t>
      </w:r>
      <w:r w:rsidR="00574D2A">
        <w:rPr>
          <w:lang w:val="en-US"/>
        </w:rPr>
        <w:t xml:space="preserve">In the qualitative study, Lagunes-Cordoba et al. (2021) identifies formal training as one of the crucial approaches to reducing stigma. Similarly, in a randomized controlled trial, </w:t>
      </w:r>
      <w:proofErr w:type="spellStart"/>
      <w:r w:rsidR="00574D2A">
        <w:rPr>
          <w:lang w:val="en-US"/>
        </w:rPr>
        <w:t>Eiroa-Orosa</w:t>
      </w:r>
      <w:proofErr w:type="spellEnd"/>
      <w:r w:rsidR="00574D2A">
        <w:rPr>
          <w:lang w:val="en-US"/>
        </w:rPr>
        <w:t xml:space="preserve"> et al. (2021) revealed significant benefits of a structured training program</w:t>
      </w:r>
      <w:r w:rsidR="00547425">
        <w:rPr>
          <w:lang w:val="en-US"/>
        </w:rPr>
        <w:t xml:space="preserve">, with substantial reduction of stigmatizing beliefs. </w:t>
      </w:r>
      <w:proofErr w:type="spellStart"/>
      <w:r w:rsidR="00547425">
        <w:rPr>
          <w:lang w:val="en-US"/>
        </w:rPr>
        <w:t>Kohrt</w:t>
      </w:r>
      <w:proofErr w:type="spellEnd"/>
      <w:r w:rsidR="00547425">
        <w:rPr>
          <w:lang w:val="en-US"/>
        </w:rPr>
        <w:t xml:space="preserve"> et al. (2021) found a structured training program that also engaged people with </w:t>
      </w:r>
      <w:r w:rsidR="00FD3E9F">
        <w:rPr>
          <w:lang w:val="en-US"/>
        </w:rPr>
        <w:t xml:space="preserve">lived experiences (PLWE) of mental illness reduced stigma and improved knowledge among healthcare professionals. Therefore, appropriate training programs </w:t>
      </w:r>
      <w:r w:rsidR="00100B6C">
        <w:rPr>
          <w:lang w:val="en-US"/>
        </w:rPr>
        <w:t>c</w:t>
      </w:r>
      <w:r w:rsidR="00FD3E9F">
        <w:rPr>
          <w:lang w:val="en-US"/>
        </w:rPr>
        <w:t>ould be used to address the problem among healthcare professionals</w:t>
      </w:r>
      <w:r w:rsidR="00960D8D">
        <w:rPr>
          <w:lang w:val="en-US"/>
        </w:rPr>
        <w:t>.</w:t>
      </w:r>
    </w:p>
    <w:p w14:paraId="4FBD787F" w14:textId="77777777" w:rsidR="00814F34" w:rsidRDefault="00814F34">
      <w:pPr>
        <w:rPr>
          <w:lang w:val="en-US"/>
        </w:rPr>
        <w:sectPr w:rsidR="00814F34" w:rsidSect="00D56ABF">
          <w:pgSz w:w="12240" w:h="15840"/>
          <w:pgMar w:top="1560" w:right="1440" w:bottom="425" w:left="1440" w:header="709" w:footer="709" w:gutter="0"/>
          <w:cols w:space="708"/>
          <w:docGrid w:linePitch="360"/>
        </w:sectPr>
      </w:pPr>
    </w:p>
    <w:p w14:paraId="22924DD6" w14:textId="39EC5670" w:rsidR="00960D8D" w:rsidRPr="0066206B" w:rsidRDefault="00960D8D" w:rsidP="00814F34">
      <w:pPr>
        <w:jc w:val="center"/>
        <w:rPr>
          <w:b/>
          <w:bCs/>
        </w:rPr>
      </w:pPr>
      <w:r w:rsidRPr="0066206B">
        <w:rPr>
          <w:b/>
          <w:bCs/>
        </w:rPr>
        <w:lastRenderedPageBreak/>
        <w:t>John Hopkins Appraisal Tool</w:t>
      </w:r>
    </w:p>
    <w:tbl>
      <w:tblPr>
        <w:tblW w:w="5000" w:type="pct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821"/>
        <w:gridCol w:w="2451"/>
        <w:gridCol w:w="1133"/>
        <w:gridCol w:w="1562"/>
        <w:gridCol w:w="1701"/>
        <w:gridCol w:w="2267"/>
        <w:gridCol w:w="1556"/>
        <w:gridCol w:w="1130"/>
        <w:gridCol w:w="1145"/>
        <w:gridCol w:w="416"/>
      </w:tblGrid>
      <w:tr w:rsidR="00960D8D" w:rsidRPr="00F8094C" w14:paraId="0CEDFD41" w14:textId="77777777" w:rsidTr="005B0F3E">
        <w:trPr>
          <w:trHeight w:val="920"/>
        </w:trPr>
        <w:tc>
          <w:tcPr>
            <w:tcW w:w="232" w:type="pct"/>
            <w:shd w:val="clear" w:color="auto" w:fill="D1D3D4"/>
          </w:tcPr>
          <w:p w14:paraId="61C0CA6E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2C6F0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36AB06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sz w:val="20"/>
                <w:szCs w:val="20"/>
              </w:rPr>
              <w:t>Reviewer name(s)</w:t>
            </w:r>
          </w:p>
        </w:tc>
        <w:tc>
          <w:tcPr>
            <w:tcW w:w="276" w:type="pct"/>
            <w:shd w:val="clear" w:color="auto" w:fill="D1D3D4"/>
          </w:tcPr>
          <w:p w14:paraId="554BC3BE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14390" w14:textId="77777777" w:rsidR="00960D8D" w:rsidRPr="00F8094C" w:rsidRDefault="00960D8D" w:rsidP="005B0F3E">
            <w:pPr>
              <w:pStyle w:val="TableParagraph"/>
              <w:spacing w:before="155"/>
              <w:ind w:left="103" w:righ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</w:rPr>
              <w:t xml:space="preserve">Article </w:t>
            </w:r>
            <w:r w:rsidRPr="00F8094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Number</w:t>
            </w:r>
          </w:p>
        </w:tc>
        <w:tc>
          <w:tcPr>
            <w:tcW w:w="824" w:type="pct"/>
            <w:shd w:val="clear" w:color="auto" w:fill="D1D3D4"/>
          </w:tcPr>
          <w:p w14:paraId="03A9C89A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8174E5" w14:textId="77777777" w:rsidR="00960D8D" w:rsidRPr="00F8094C" w:rsidRDefault="00960D8D" w:rsidP="005B0F3E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Author, date, and title</w:t>
            </w:r>
          </w:p>
        </w:tc>
        <w:tc>
          <w:tcPr>
            <w:tcW w:w="381" w:type="pct"/>
            <w:shd w:val="clear" w:color="auto" w:fill="D1D3D4"/>
          </w:tcPr>
          <w:p w14:paraId="386E2A77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FF6B0" w14:textId="77777777" w:rsidR="00960D8D" w:rsidRPr="00F8094C" w:rsidRDefault="00960D8D" w:rsidP="005B0F3E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Type of Evidence </w:t>
            </w:r>
          </w:p>
        </w:tc>
        <w:tc>
          <w:tcPr>
            <w:tcW w:w="525" w:type="pct"/>
            <w:shd w:val="clear" w:color="auto" w:fill="D1D3D4"/>
          </w:tcPr>
          <w:p w14:paraId="7D87A782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223E1" w14:textId="77777777" w:rsidR="00960D8D" w:rsidRPr="00F8094C" w:rsidRDefault="00960D8D" w:rsidP="005B0F3E">
            <w:pPr>
              <w:pStyle w:val="TableParagraph"/>
              <w:spacing w:before="155"/>
              <w:ind w:left="103" w:righ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</w:rPr>
              <w:t>Population, Size, and Setting</w:t>
            </w:r>
          </w:p>
        </w:tc>
        <w:tc>
          <w:tcPr>
            <w:tcW w:w="572" w:type="pct"/>
            <w:shd w:val="clear" w:color="auto" w:fill="D1D3D4"/>
          </w:tcPr>
          <w:p w14:paraId="1697601C" w14:textId="77777777" w:rsidR="00960D8D" w:rsidRPr="00F8094C" w:rsidRDefault="00960D8D" w:rsidP="005B0F3E">
            <w:pPr>
              <w:pStyle w:val="TableParagraph"/>
              <w:spacing w:before="167"/>
              <w:ind w:left="10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</w:p>
          <w:p w14:paraId="484EBED4" w14:textId="77777777" w:rsidR="00960D8D" w:rsidRPr="00F8094C" w:rsidRDefault="00960D8D" w:rsidP="005B0F3E">
            <w:pPr>
              <w:pStyle w:val="TableParagraph"/>
              <w:spacing w:before="167"/>
              <w:ind w:left="10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Intervention</w:t>
            </w:r>
          </w:p>
        </w:tc>
        <w:tc>
          <w:tcPr>
            <w:tcW w:w="762" w:type="pct"/>
            <w:shd w:val="clear" w:color="auto" w:fill="D1D3D4"/>
          </w:tcPr>
          <w:p w14:paraId="0FFBAEC0" w14:textId="77777777" w:rsidR="00960D8D" w:rsidRPr="00F8094C" w:rsidRDefault="00960D8D" w:rsidP="005B0F3E">
            <w:pPr>
              <w:pStyle w:val="TableParagraph"/>
              <w:spacing w:before="167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Findings That Help Answer the EBP Question</w:t>
            </w:r>
          </w:p>
        </w:tc>
        <w:tc>
          <w:tcPr>
            <w:tcW w:w="523" w:type="pct"/>
            <w:shd w:val="clear" w:color="auto" w:fill="D1D3D4"/>
          </w:tcPr>
          <w:p w14:paraId="456BA629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D24564" w14:textId="77777777" w:rsidR="00960D8D" w:rsidRPr="00F8094C" w:rsidRDefault="00960D8D" w:rsidP="005B0F3E">
            <w:pPr>
              <w:pStyle w:val="TableParagraph"/>
              <w:spacing w:before="155"/>
              <w:ind w:left="103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</w:rPr>
              <w:t>Measures used</w:t>
            </w:r>
          </w:p>
        </w:tc>
        <w:tc>
          <w:tcPr>
            <w:tcW w:w="380" w:type="pct"/>
            <w:shd w:val="clear" w:color="auto" w:fill="D1D3D4"/>
          </w:tcPr>
          <w:p w14:paraId="16BCE6A5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E90F32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8E766" w14:textId="77777777" w:rsidR="00960D8D" w:rsidRPr="00F8094C" w:rsidRDefault="00960D8D" w:rsidP="005B0F3E">
            <w:pPr>
              <w:pStyle w:val="TableParagraph"/>
              <w:spacing w:before="176"/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</w:rPr>
              <w:t>Limitations</w:t>
            </w:r>
          </w:p>
        </w:tc>
        <w:tc>
          <w:tcPr>
            <w:tcW w:w="385" w:type="pct"/>
            <w:shd w:val="clear" w:color="auto" w:fill="D1D3D4"/>
          </w:tcPr>
          <w:p w14:paraId="51D22605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9724D" w14:textId="77777777" w:rsidR="00960D8D" w:rsidRPr="00F8094C" w:rsidRDefault="00960D8D" w:rsidP="005B0F3E">
            <w:pPr>
              <w:pStyle w:val="TableParagraph"/>
              <w:spacing w:before="155"/>
              <w:ind w:left="103"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</w:rPr>
              <w:t>Evidence Level, Quality</w:t>
            </w:r>
          </w:p>
        </w:tc>
        <w:tc>
          <w:tcPr>
            <w:tcW w:w="140" w:type="pct"/>
            <w:shd w:val="clear" w:color="auto" w:fill="D1D3D4"/>
          </w:tcPr>
          <w:p w14:paraId="33729757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24B441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3FEAC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Notes to team</w:t>
            </w:r>
          </w:p>
        </w:tc>
      </w:tr>
      <w:tr w:rsidR="00960D8D" w:rsidRPr="00F8094C" w14:paraId="788D53BE" w14:textId="77777777" w:rsidTr="005B0F3E">
        <w:trPr>
          <w:trHeight w:val="880"/>
        </w:trPr>
        <w:tc>
          <w:tcPr>
            <w:tcW w:w="232" w:type="pct"/>
          </w:tcPr>
          <w:p w14:paraId="21196854" w14:textId="77777777" w:rsidR="00960D8D" w:rsidRPr="00F8094C" w:rsidRDefault="00960D8D" w:rsidP="005B0F3E">
            <w:pPr>
              <w:pStyle w:val="TableParagraph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66C41D74" w14:textId="77777777" w:rsidR="00960D8D" w:rsidRPr="00F8094C" w:rsidRDefault="00960D8D" w:rsidP="00960D8D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14:paraId="0CAADB29" w14:textId="77777777" w:rsidR="00960D8D" w:rsidRPr="00F8094C" w:rsidRDefault="00960D8D" w:rsidP="005B0F3E">
            <w:pPr>
              <w:tabs>
                <w:tab w:val="left" w:pos="0"/>
              </w:tabs>
              <w:spacing w:line="240" w:lineRule="auto"/>
              <w:rPr>
                <w:rFonts w:cs="Times New Roman"/>
                <w:color w:val="333333"/>
                <w:sz w:val="20"/>
                <w:szCs w:val="20"/>
                <w:shd w:val="clear" w:color="auto" w:fill="FCFCFC"/>
              </w:rPr>
            </w:pPr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F8094C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Lagunes-Cordoba, E., Davalos, A., </w:t>
            </w:r>
            <w:proofErr w:type="spellStart"/>
            <w:r w:rsidRPr="00F8094C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Fresan</w:t>
            </w:r>
            <w:proofErr w:type="spellEnd"/>
            <w:r w:rsidRPr="00F8094C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-Orellana, A., Jarrett, M., Gonzalez-Olvera, J., Thornicroft, G., &amp; Henderson, C. (2021). Mental health service users’ perceptions of stigma, from the general population and from mental health professionals in Mexico: A qualitative study. </w:t>
            </w:r>
            <w:r w:rsidRPr="00F8094C">
              <w:rPr>
                <w:rFonts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Community Mental Health Journal</w:t>
            </w:r>
            <w:r w:rsidRPr="00F8094C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F8094C">
              <w:rPr>
                <w:rFonts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57</w:t>
            </w:r>
            <w:r w:rsidRPr="00F8094C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, 985-993. </w:t>
            </w:r>
            <w:hyperlink r:id="rId7" w:history="1">
              <w:r w:rsidRPr="00F8094C">
                <w:rPr>
                  <w:rStyle w:val="Hyperlink"/>
                  <w:rFonts w:cs="Times New Roman"/>
                  <w:sz w:val="20"/>
                  <w:szCs w:val="20"/>
                  <w:shd w:val="clear" w:color="auto" w:fill="FCFCFC"/>
                </w:rPr>
                <w:t>https://doi.org/10.1007/s10597-020-00706-4</w:t>
              </w:r>
            </w:hyperlink>
            <w:r w:rsidRPr="00F8094C">
              <w:rPr>
                <w:rFonts w:cs="Times New Roman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</w:p>
          <w:p w14:paraId="11A67C94" w14:textId="77777777" w:rsidR="00960D8D" w:rsidRPr="00F8094C" w:rsidRDefault="00960D8D" w:rsidP="005B0F3E">
            <w:pPr>
              <w:tabs>
                <w:tab w:val="left" w:pos="0"/>
              </w:tabs>
              <w:spacing w:line="240" w:lineRule="auto"/>
              <w:rPr>
                <w:rFonts w:cs="Times New Roman"/>
                <w:color w:val="333333"/>
                <w:sz w:val="20"/>
                <w:szCs w:val="20"/>
                <w:shd w:val="clear" w:color="auto" w:fill="FCFCFC"/>
              </w:rPr>
            </w:pPr>
          </w:p>
          <w:p w14:paraId="3B05F496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</w:rPr>
              <w:t xml:space="preserve">Permalink: </w:t>
            </w:r>
            <w:hyperlink r:id="rId8" w:history="1">
              <w:r w:rsidRPr="00F8094C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CFCFC"/>
                </w:rPr>
                <w:t>https://link.springer.com/article/10.1007/s10597-020-00706-4</w:t>
              </w:r>
            </w:hyperlink>
            <w:r w:rsidRPr="00F8094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</w:p>
        </w:tc>
        <w:tc>
          <w:tcPr>
            <w:tcW w:w="381" w:type="pct"/>
          </w:tcPr>
          <w:p w14:paraId="6E84E885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Qualitative; Exploratory</w:t>
            </w:r>
          </w:p>
        </w:tc>
        <w:tc>
          <w:tcPr>
            <w:tcW w:w="525" w:type="pct"/>
          </w:tcPr>
          <w:p w14:paraId="7BD921D6" w14:textId="77777777" w:rsidR="00960D8D" w:rsidRPr="00F8094C" w:rsidRDefault="00960D8D" w:rsidP="005B0F3E">
            <w:pPr>
              <w:pStyle w:val="TableParagraph"/>
              <w:tabs>
                <w:tab w:val="left" w:pos="1064"/>
              </w:tabs>
              <w:spacing w:after="120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Population: 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Outpatients aged &gt;18 years, with mental health disorder, treated by psychiatric consultants or trainees, managed in general adult psychiatry service</w:t>
            </w:r>
          </w:p>
          <w:p w14:paraId="53F401C2" w14:textId="77777777" w:rsidR="00960D8D" w:rsidRPr="00F8094C" w:rsidRDefault="00960D8D" w:rsidP="005B0F3E">
            <w:pPr>
              <w:pStyle w:val="TableParagraph"/>
              <w:tabs>
                <w:tab w:val="left" w:pos="1064"/>
              </w:tabs>
              <w:spacing w:after="120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Size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: n=47</w:t>
            </w:r>
          </w:p>
          <w:p w14:paraId="52F4426C" w14:textId="77777777" w:rsidR="00960D8D" w:rsidRPr="00F8094C" w:rsidRDefault="00960D8D" w:rsidP="005B0F3E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Setting: 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Psychiatric hospital in Mexico City</w:t>
            </w:r>
          </w:p>
        </w:tc>
        <w:tc>
          <w:tcPr>
            <w:tcW w:w="572" w:type="pct"/>
          </w:tcPr>
          <w:p w14:paraId="7FA505FE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762" w:type="pct"/>
          </w:tcPr>
          <w:p w14:paraId="78E3DC87" w14:textId="77777777" w:rsidR="00960D8D" w:rsidRPr="00F8094C" w:rsidRDefault="00960D8D" w:rsidP="005B0F3E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Experiences of stigma from the general population, including social distance, fear, paternalism, discrimination, lack of empathy, judgment, and labeling</w:t>
            </w:r>
          </w:p>
          <w:p w14:paraId="58901F9A" w14:textId="77777777" w:rsidR="00960D8D" w:rsidRPr="00F8094C" w:rsidRDefault="00960D8D" w:rsidP="005B0F3E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Stigmatizing attitudes from providers, including being cold, distant, not being offered clear explanations, and labeling</w:t>
            </w:r>
          </w:p>
          <w:p w14:paraId="2C193AD4" w14:textId="77777777" w:rsidR="00960D8D" w:rsidRPr="00F8094C" w:rsidRDefault="00960D8D" w:rsidP="005B0F3E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Causes of stigma: desensitization, burnout and constant change of providers</w:t>
            </w:r>
          </w:p>
          <w:p w14:paraId="5EF28F5C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Solutions: Raising public awareness and formal provider training</w:t>
            </w:r>
          </w:p>
        </w:tc>
        <w:tc>
          <w:tcPr>
            <w:tcW w:w="523" w:type="pct"/>
          </w:tcPr>
          <w:p w14:paraId="1A72AD0B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380" w:type="pct"/>
          </w:tcPr>
          <w:p w14:paraId="3C6532B2" w14:textId="77777777" w:rsidR="00960D8D" w:rsidRPr="00F8094C" w:rsidRDefault="00960D8D" w:rsidP="005B0F3E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Subjective bias from participants who may have had an opportunity to complain</w:t>
            </w:r>
          </w:p>
          <w:p w14:paraId="1156BD3E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Exclusion of inpatients who might have had different opinions</w:t>
            </w:r>
          </w:p>
        </w:tc>
        <w:tc>
          <w:tcPr>
            <w:tcW w:w="385" w:type="pct"/>
          </w:tcPr>
          <w:p w14:paraId="47A6C08D" w14:textId="77777777" w:rsidR="00960D8D" w:rsidRPr="00F8094C" w:rsidRDefault="00960D8D" w:rsidP="005B0F3E">
            <w:pPr>
              <w:pStyle w:val="TableParagraph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Level III</w:t>
            </w:r>
          </w:p>
          <w:p w14:paraId="6335B092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Grade A (High Quality)</w:t>
            </w:r>
          </w:p>
        </w:tc>
        <w:tc>
          <w:tcPr>
            <w:tcW w:w="140" w:type="pct"/>
          </w:tcPr>
          <w:p w14:paraId="1DC3B898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D8D" w:rsidRPr="00F8094C" w14:paraId="0DB5E486" w14:textId="77777777" w:rsidTr="005B0F3E">
        <w:trPr>
          <w:trHeight w:val="880"/>
        </w:trPr>
        <w:tc>
          <w:tcPr>
            <w:tcW w:w="232" w:type="pct"/>
          </w:tcPr>
          <w:p w14:paraId="60D28686" w14:textId="77777777" w:rsidR="00960D8D" w:rsidRPr="00F8094C" w:rsidRDefault="00960D8D" w:rsidP="005B0F3E">
            <w:pPr>
              <w:pStyle w:val="TableParagraph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077FAF1B" w14:textId="77777777" w:rsidR="00960D8D" w:rsidRPr="00F8094C" w:rsidRDefault="00960D8D" w:rsidP="00960D8D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14:paraId="486D4BEA" w14:textId="77777777" w:rsidR="00960D8D" w:rsidRPr="00F8094C" w:rsidRDefault="00960D8D" w:rsidP="005B0F3E">
            <w:pPr>
              <w:tabs>
                <w:tab w:val="left" w:pos="0"/>
              </w:tabs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Eiroa-Orosa</w:t>
            </w:r>
            <w:proofErr w:type="spellEnd"/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 xml:space="preserve">, F. J., </w:t>
            </w:r>
            <w:proofErr w:type="spellStart"/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Lomascolo</w:t>
            </w:r>
            <w:proofErr w:type="spellEnd"/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 xml:space="preserve">, M., &amp; </w:t>
            </w:r>
            <w:proofErr w:type="spellStart"/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Tosas</w:t>
            </w:r>
            <w:proofErr w:type="spellEnd"/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-Fernández, A. (2021). Efficacy of an Intervention to Reduce Stigma Beliefs and Attitudes among Primary Care and Mental Health Professionals: Two Cluster Randomised-Controlled Trials. </w:t>
            </w:r>
            <w:r w:rsidRPr="00F8094C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 xml:space="preserve">International Journal </w:t>
            </w:r>
            <w:r w:rsidRPr="00F8094C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lastRenderedPageBreak/>
              <w:t>of Environmental Research and Public Health</w:t>
            </w:r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, </w:t>
            </w:r>
            <w:r w:rsidRPr="00F8094C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18</w:t>
            </w:r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 xml:space="preserve">(3), 1214. </w:t>
            </w:r>
            <w:hyperlink r:id="rId9" w:history="1">
              <w:r w:rsidRPr="00F8094C">
                <w:rPr>
                  <w:rStyle w:val="Hyperlink"/>
                  <w:rFonts w:cs="Times New Roman"/>
                  <w:sz w:val="20"/>
                  <w:szCs w:val="20"/>
                  <w:shd w:val="clear" w:color="auto" w:fill="FFFFFF"/>
                </w:rPr>
                <w:t>https://doi.org/10.3390/ijerph18031214</w:t>
              </w:r>
            </w:hyperlink>
            <w:r w:rsidRPr="00F8094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063730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E47C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Permalink: </w:t>
            </w:r>
            <w:hyperlink r:id="rId10" w:history="1">
              <w:r w:rsidRPr="00F8094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https://www.mdpi.com/1660-4601/18/3/1214</w:t>
              </w:r>
            </w:hyperlink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14:paraId="4E6D3DCA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Quantitative; Randomized Controlled Trial (RCT)</w:t>
            </w:r>
          </w:p>
        </w:tc>
        <w:tc>
          <w:tcPr>
            <w:tcW w:w="525" w:type="pct"/>
          </w:tcPr>
          <w:p w14:paraId="4FE858EE" w14:textId="77777777" w:rsidR="00960D8D" w:rsidRPr="00F8094C" w:rsidRDefault="00960D8D" w:rsidP="005B0F3E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Population</w:t>
            </w:r>
            <w:r w:rsidRPr="005A2510">
              <w:rPr>
                <w:rFonts w:ascii="Times New Roman" w:hAnsi="Times New Roman" w:cs="Times New Roman"/>
                <w:sz w:val="20"/>
                <w:szCs w:val="20"/>
              </w:rPr>
              <w:t>: P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rofessionals in primary care and mental health settings, working as administrative officers, nurses, general practitioners, psychiatrists, 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psychologist, odontologists, or social workers. </w:t>
            </w:r>
          </w:p>
          <w:p w14:paraId="1FA8878B" w14:textId="77777777" w:rsidR="00960D8D" w:rsidRDefault="00960D8D" w:rsidP="005B0F3E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5A25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N=371 participants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n=185 from primary care and n=186 from mental health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64943F" w14:textId="77777777" w:rsidR="00960D8D" w:rsidRPr="00F8094C" w:rsidRDefault="00960D8D" w:rsidP="005B0F3E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Setting: </w:t>
            </w:r>
            <w:r w:rsidRPr="00C81D05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 care and mental health centers in Catalonia</w:t>
            </w:r>
          </w:p>
        </w:tc>
        <w:tc>
          <w:tcPr>
            <w:tcW w:w="572" w:type="pct"/>
          </w:tcPr>
          <w:p w14:paraId="709809ED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 intervention started with a co-creation process among PC and MH providers. The awareness campaign involved 4-r training workshop, a 4-h self-diagnosis workshop, a self-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organized activity, and a follow-up session.</w:t>
            </w:r>
          </w:p>
        </w:tc>
        <w:tc>
          <w:tcPr>
            <w:tcW w:w="762" w:type="pct"/>
          </w:tcPr>
          <w:p w14:paraId="13C1CF86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 primary care, the intervention group had statistically significant changes in stigma beliefs and attitudes (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=2.813, 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&lt;0.01), as measured using the Opening Minds Stigma Scale for Health Care Providers (OMS-HC). In mental health, the 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intervention and control groups has statistically significant differences in their beliefs (z= - 2.419, 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&lt;0.05) and total score (z = -2.392, 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&lt;0.05), as measured using Beliefs and Attitudes towards Mental Health Service (BAHMS). In addition, the intervention group portrayed a decreasing trend in BAHMS total score (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=1.708, 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=0.091) and significant decrease in the coercion subscale (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=3.056, </w:t>
            </w:r>
            <w:r w:rsidRPr="00F809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&lt;0.05).</w:t>
            </w:r>
          </w:p>
        </w:tc>
        <w:tc>
          <w:tcPr>
            <w:tcW w:w="523" w:type="pct"/>
          </w:tcPr>
          <w:p w14:paraId="0D42F610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Stigmatizing beliefs and behaviors measured using OMS-HC in PC and BAHMS in MH centers.</w:t>
            </w:r>
          </w:p>
        </w:tc>
        <w:tc>
          <w:tcPr>
            <w:tcW w:w="380" w:type="pct"/>
          </w:tcPr>
          <w:p w14:paraId="5CE687FF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A high attrition rate, with some professionals failing to complete the baseline questionnaires</w:t>
            </w:r>
          </w:p>
          <w:p w14:paraId="12FC26B8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 xml:space="preserve">No formative 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evaluation activities were complete because of resource and time limitations</w:t>
            </w:r>
          </w:p>
        </w:tc>
        <w:tc>
          <w:tcPr>
            <w:tcW w:w="385" w:type="pct"/>
          </w:tcPr>
          <w:p w14:paraId="6E661597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Level I</w:t>
            </w:r>
          </w:p>
          <w:p w14:paraId="5D573D43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A (</w:t>
            </w:r>
            <w:r w:rsidRPr="00F8094C">
              <w:rPr>
                <w:rFonts w:ascii="Times New Roman" w:hAnsi="Times New Roman" w:cs="Times New Roman"/>
                <w:sz w:val="20"/>
                <w:szCs w:val="20"/>
              </w:rPr>
              <w:t>good quality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" w:type="pct"/>
          </w:tcPr>
          <w:p w14:paraId="76D61378" w14:textId="77777777" w:rsidR="00960D8D" w:rsidRPr="00F8094C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D8D" w:rsidRPr="00205094" w14:paraId="2845DFDB" w14:textId="77777777" w:rsidTr="005B0F3E">
        <w:trPr>
          <w:trHeight w:val="880"/>
        </w:trPr>
        <w:tc>
          <w:tcPr>
            <w:tcW w:w="232" w:type="pct"/>
          </w:tcPr>
          <w:p w14:paraId="160C9AF6" w14:textId="77777777" w:rsidR="00960D8D" w:rsidRPr="00205094" w:rsidRDefault="00960D8D" w:rsidP="005B0F3E">
            <w:pPr>
              <w:pStyle w:val="TableParagraph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09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76" w:type="pct"/>
          </w:tcPr>
          <w:p w14:paraId="7CA17E45" w14:textId="77777777" w:rsidR="00960D8D" w:rsidRPr="00205094" w:rsidRDefault="00960D8D" w:rsidP="00960D8D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14:paraId="5A761207" w14:textId="77F46EA3" w:rsidR="00960D8D" w:rsidRPr="00205094" w:rsidRDefault="00960D8D" w:rsidP="005B0F3E">
            <w:pPr>
              <w:tabs>
                <w:tab w:val="left" w:pos="0"/>
              </w:tabs>
              <w:spacing w:line="240" w:lineRule="auto"/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Kohrt</w:t>
            </w:r>
            <w:proofErr w:type="spellEnd"/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, B. A., Jordans, M. J., Turner, E. L., Rai, S., Gurung, D., </w:t>
            </w:r>
            <w:proofErr w:type="spellStart"/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Dhakal</w:t>
            </w:r>
            <w:proofErr w:type="spellEnd"/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, M., ... &amp; </w:t>
            </w:r>
            <w:proofErr w:type="spellStart"/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Sikkema</w:t>
            </w:r>
            <w:proofErr w:type="spellEnd"/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, K. J. (2021). Collaboration with people with lived experience of mental illness to reduce stigma and improve primary care services: a pilot cluster randomized clinical trial. </w:t>
            </w:r>
            <w:r w:rsidRPr="00205094">
              <w:rPr>
                <w:rFonts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JAMA Network Open</w:t>
            </w:r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205094">
              <w:rPr>
                <w:rFonts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(11), e2131475-e2131475. </w:t>
            </w:r>
            <w:hyperlink r:id="rId11" w:history="1">
              <w:r w:rsidR="00F95297" w:rsidRPr="005456B8">
                <w:rPr>
                  <w:rStyle w:val="Hyperlink"/>
                  <w:rFonts w:cs="Times New Roman"/>
                  <w:sz w:val="20"/>
                  <w:szCs w:val="20"/>
                  <w:shd w:val="clear" w:color="auto" w:fill="FFFFFF"/>
                </w:rPr>
                <w:t>https://doi.org/</w:t>
              </w:r>
              <w:r w:rsidR="00F95297" w:rsidRPr="005456B8">
                <w:rPr>
                  <w:rStyle w:val="Hyperlink"/>
                  <w:sz w:val="20"/>
                  <w:szCs w:val="20"/>
                </w:rPr>
                <w:t>10.1001/jamanetworkopen.2021.31475</w:t>
              </w:r>
            </w:hyperlink>
            <w:r w:rsidR="00F95297">
              <w:rPr>
                <w:sz w:val="20"/>
                <w:szCs w:val="20"/>
              </w:rPr>
              <w:t xml:space="preserve"> </w:t>
            </w:r>
          </w:p>
          <w:p w14:paraId="7E9E8535" w14:textId="77777777" w:rsidR="00960D8D" w:rsidRPr="00205094" w:rsidRDefault="00960D8D" w:rsidP="005B0F3E">
            <w:pPr>
              <w:tabs>
                <w:tab w:val="left" w:pos="0"/>
              </w:tabs>
              <w:spacing w:line="240" w:lineRule="auto"/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22694D53" w14:textId="7F3CD39F" w:rsidR="00960D8D" w:rsidRPr="00205094" w:rsidRDefault="00960D8D" w:rsidP="005B0F3E">
            <w:pPr>
              <w:tabs>
                <w:tab w:val="left" w:pos="0"/>
              </w:tabs>
              <w:spacing w:line="240" w:lineRule="auto"/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Permalink: </w:t>
            </w:r>
            <w:hyperlink r:id="rId12" w:history="1">
              <w:r w:rsidR="00F95297" w:rsidRPr="005456B8">
                <w:rPr>
                  <w:rStyle w:val="Hyperlink"/>
                  <w:rFonts w:cs="Times New Roman"/>
                  <w:sz w:val="20"/>
                  <w:szCs w:val="20"/>
                  <w:shd w:val="clear" w:color="auto" w:fill="FFFFFF"/>
                </w:rPr>
                <w:t>https://jamanetwork.com/journals/jamanetworkopen/fullarticle/2785795</w:t>
              </w:r>
            </w:hyperlink>
            <w:r w:rsidRPr="00205094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81" w:type="pct"/>
          </w:tcPr>
          <w:p w14:paraId="3CC8216D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Quantitative;</w:t>
            </w:r>
          </w:p>
          <w:p w14:paraId="64B715E2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Randomized controlled trial</w:t>
            </w:r>
          </w:p>
          <w:p w14:paraId="5ECF5D49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14:paraId="543A9FB9" w14:textId="77777777" w:rsidR="00960D8D" w:rsidRDefault="00960D8D" w:rsidP="005B0F3E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Population: </w:t>
            </w:r>
            <w:r w:rsidRPr="00DA7C2D">
              <w:rPr>
                <w:rFonts w:ascii="Times New Roman" w:hAnsi="Times New Roman" w:cs="Times New Roman"/>
                <w:sz w:val="20"/>
                <w:szCs w:val="20"/>
              </w:rPr>
              <w:t>All primary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facilities in the implementation area, with all PCPs with prescribing authority being eligible; 34 facilities were eligible for randomization</w:t>
            </w:r>
          </w:p>
          <w:p w14:paraId="680E4CC1" w14:textId="77777777" w:rsidR="00960D8D" w:rsidRPr="00343F34" w:rsidRDefault="00960D8D" w:rsidP="005B0F3E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Size: </w:t>
            </w:r>
            <w:r w:rsidRPr="00E3323F">
              <w:rPr>
                <w:rFonts w:ascii="Times New Roman" w:hAnsi="Times New Roman" w:cs="Times New Roman"/>
                <w:sz w:val="20"/>
                <w:szCs w:val="20"/>
              </w:rPr>
              <w:t>N=88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PCPs (n=45 allocated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mHGAP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-IG training and n=43 allocated to RESHAPE`</w:t>
            </w:r>
          </w:p>
        </w:tc>
        <w:tc>
          <w:tcPr>
            <w:tcW w:w="572" w:type="pct"/>
          </w:tcPr>
          <w:p w14:paraId="07A36C12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People with lived experiences (PWLE) of mental health problems co-facilitated the program through 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PhotoVoice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sessions for 3 months, constructing narratives of their life before treatment, experience of treatment, and life after treatment. The RESHAPE program engaged PCPs in sessions across 3 stigma domains: survival, social, and professional threats. The control condition involved the adaptation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mhGAP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-IG without PWLE engagement.</w:t>
            </w:r>
          </w:p>
          <w:p w14:paraId="2375ADDB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</w:tcPr>
          <w:p w14:paraId="749B70B0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Mean Social Distance Scale (SDS) scores from pre-training to 16 months changed by -10.6 points (95% CI: -14.5 to -6.74) in the RESHAPE group and -2.79 points (95% CI: -8.29 to 2.70) in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mhGAP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group. </w:t>
            </w:r>
          </w:p>
          <w:p w14:paraId="0A3F10BE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Role-play-based diagnoses using Enhancing Assessment of Common Therapeutic (ENACT) factor tool was 78.1% accurate in the RESHAPE group and 66.7% in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mhGAP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group. The accuracy of patient diagnoses was 72.5% in the RESHAPE group and 34/5% in the control group.</w:t>
            </w:r>
          </w:p>
        </w:tc>
        <w:tc>
          <w:tcPr>
            <w:tcW w:w="523" w:type="pct"/>
          </w:tcPr>
          <w:p w14:paraId="307205CB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PCP’s level of stigma measured using SDS</w:t>
            </w:r>
          </w:p>
          <w:p w14:paraId="2154FC23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Stigmatizing beliefs and stereotypes measured using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mhGAP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Attitudes Assessment</w:t>
            </w:r>
          </w:p>
          <w:p w14:paraId="545997D1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competency measured using ENACT factor tool</w:t>
            </w:r>
          </w:p>
        </w:tc>
        <w:tc>
          <w:tcPr>
            <w:tcW w:w="380" w:type="pct"/>
          </w:tcPr>
          <w:p w14:paraId="0C22033F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Mental health specialists accomplishing the training were not blinded to the participation of PWLE during training, which may have affected the trainers’ behavior, hence the possibility of bias.</w:t>
            </w:r>
          </w:p>
          <w:p w14:paraId="0FE344F5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study focused on in-service training, which may not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generalizable to preservice training</w:t>
            </w:r>
          </w:p>
        </w:tc>
        <w:tc>
          <w:tcPr>
            <w:tcW w:w="385" w:type="pct"/>
          </w:tcPr>
          <w:p w14:paraId="1CD91FE8" w14:textId="77777777" w:rsidR="00960D8D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Level 1</w:t>
            </w:r>
          </w:p>
          <w:p w14:paraId="50A9C3E6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A (high quality)</w:t>
            </w:r>
          </w:p>
        </w:tc>
        <w:tc>
          <w:tcPr>
            <w:tcW w:w="140" w:type="pct"/>
          </w:tcPr>
          <w:p w14:paraId="1BCD2660" w14:textId="77777777" w:rsidR="00960D8D" w:rsidRPr="00205094" w:rsidRDefault="00960D8D" w:rsidP="005B0F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A9AA21" w14:textId="77777777" w:rsidR="00960D8D" w:rsidRDefault="00960D8D" w:rsidP="00960D8D">
      <w:pPr>
        <w:tabs>
          <w:tab w:val="left" w:pos="0"/>
        </w:tabs>
        <w:spacing w:line="240" w:lineRule="auto"/>
        <w:sectPr w:rsidR="00960D8D" w:rsidSect="00D7274B">
          <w:pgSz w:w="15840" w:h="12240" w:orient="landscape"/>
          <w:pgMar w:top="1440" w:right="531" w:bottom="1440" w:left="426" w:header="709" w:footer="709" w:gutter="0"/>
          <w:cols w:space="708"/>
          <w:docGrid w:linePitch="360"/>
        </w:sectPr>
      </w:pPr>
    </w:p>
    <w:p w14:paraId="56F07819" w14:textId="6F537FA0" w:rsidR="00960D8D" w:rsidRDefault="00960D8D" w:rsidP="00960D8D">
      <w:pPr>
        <w:spacing w:line="240" w:lineRule="auto"/>
        <w:jc w:val="center"/>
      </w:pPr>
      <w:r w:rsidRPr="00960D8D">
        <w:rPr>
          <w:b/>
          <w:bCs/>
        </w:rPr>
        <w:lastRenderedPageBreak/>
        <w:t>References</w:t>
      </w:r>
    </w:p>
    <w:p w14:paraId="715414DC" w14:textId="77777777" w:rsidR="00960D8D" w:rsidRDefault="00960D8D" w:rsidP="00960D8D">
      <w:pPr>
        <w:spacing w:line="240" w:lineRule="auto"/>
        <w:jc w:val="center"/>
      </w:pPr>
    </w:p>
    <w:p w14:paraId="312DBA5C" w14:textId="77777777" w:rsidR="00814F34" w:rsidRPr="00F95297" w:rsidRDefault="00814F34" w:rsidP="00814F34">
      <w:pPr>
        <w:tabs>
          <w:tab w:val="left" w:pos="0"/>
        </w:tabs>
        <w:ind w:left="720" w:hanging="720"/>
        <w:rPr>
          <w:rFonts w:cs="Times New Roman"/>
          <w:b/>
          <w:bCs/>
          <w:szCs w:val="24"/>
        </w:rPr>
      </w:pPr>
      <w:proofErr w:type="spellStart"/>
      <w:r w:rsidRPr="00F95297">
        <w:rPr>
          <w:rFonts w:cs="Times New Roman"/>
          <w:color w:val="212121"/>
          <w:szCs w:val="24"/>
          <w:shd w:val="clear" w:color="auto" w:fill="FFFFFF"/>
        </w:rPr>
        <w:t>Eiroa-Orosa</w:t>
      </w:r>
      <w:proofErr w:type="spellEnd"/>
      <w:r w:rsidRPr="00F95297">
        <w:rPr>
          <w:rFonts w:cs="Times New Roman"/>
          <w:color w:val="212121"/>
          <w:szCs w:val="24"/>
          <w:shd w:val="clear" w:color="auto" w:fill="FFFFFF"/>
        </w:rPr>
        <w:t xml:space="preserve">, F. J., </w:t>
      </w:r>
      <w:proofErr w:type="spellStart"/>
      <w:r w:rsidRPr="00F95297">
        <w:rPr>
          <w:rFonts w:cs="Times New Roman"/>
          <w:color w:val="212121"/>
          <w:szCs w:val="24"/>
          <w:shd w:val="clear" w:color="auto" w:fill="FFFFFF"/>
        </w:rPr>
        <w:t>Lomascolo</w:t>
      </w:r>
      <w:proofErr w:type="spellEnd"/>
      <w:r w:rsidRPr="00F95297">
        <w:rPr>
          <w:rFonts w:cs="Times New Roman"/>
          <w:color w:val="212121"/>
          <w:szCs w:val="24"/>
          <w:shd w:val="clear" w:color="auto" w:fill="FFFFFF"/>
        </w:rPr>
        <w:t xml:space="preserve">, M., &amp; </w:t>
      </w:r>
      <w:proofErr w:type="spellStart"/>
      <w:r w:rsidRPr="00F95297">
        <w:rPr>
          <w:rFonts w:cs="Times New Roman"/>
          <w:color w:val="212121"/>
          <w:szCs w:val="24"/>
          <w:shd w:val="clear" w:color="auto" w:fill="FFFFFF"/>
        </w:rPr>
        <w:t>Tosas</w:t>
      </w:r>
      <w:proofErr w:type="spellEnd"/>
      <w:r w:rsidRPr="00F95297">
        <w:rPr>
          <w:rFonts w:cs="Times New Roman"/>
          <w:color w:val="212121"/>
          <w:szCs w:val="24"/>
          <w:shd w:val="clear" w:color="auto" w:fill="FFFFFF"/>
        </w:rPr>
        <w:t>-Fernández, A. (2021). Efficacy of an Intervention to Reduce Stigma Beliefs and Attitudes among Primary Care and Mental Health Professionals: Two Cluster Randomised-Controlled Trials. </w:t>
      </w:r>
      <w:r w:rsidRPr="00F95297">
        <w:rPr>
          <w:rFonts w:cs="Times New Roman"/>
          <w:i/>
          <w:iCs/>
          <w:color w:val="212121"/>
          <w:szCs w:val="24"/>
          <w:shd w:val="clear" w:color="auto" w:fill="FFFFFF"/>
        </w:rPr>
        <w:t>International Journal of Environmental Research and Public Health</w:t>
      </w:r>
      <w:r w:rsidRPr="00F95297">
        <w:rPr>
          <w:rFonts w:cs="Times New Roman"/>
          <w:color w:val="212121"/>
          <w:szCs w:val="24"/>
          <w:shd w:val="clear" w:color="auto" w:fill="FFFFFF"/>
        </w:rPr>
        <w:t>, </w:t>
      </w:r>
      <w:r w:rsidRPr="00F95297">
        <w:rPr>
          <w:rFonts w:cs="Times New Roman"/>
          <w:i/>
          <w:iCs/>
          <w:color w:val="212121"/>
          <w:szCs w:val="24"/>
          <w:shd w:val="clear" w:color="auto" w:fill="FFFFFF"/>
        </w:rPr>
        <w:t>18</w:t>
      </w:r>
      <w:r w:rsidRPr="00F95297">
        <w:rPr>
          <w:rFonts w:cs="Times New Roman"/>
          <w:color w:val="212121"/>
          <w:szCs w:val="24"/>
          <w:shd w:val="clear" w:color="auto" w:fill="FFFFFF"/>
        </w:rPr>
        <w:t xml:space="preserve">(3), 1214. </w:t>
      </w:r>
      <w:hyperlink r:id="rId13" w:history="1">
        <w:r w:rsidRPr="00F95297">
          <w:rPr>
            <w:rStyle w:val="Hyperlink"/>
            <w:rFonts w:cs="Times New Roman"/>
            <w:szCs w:val="24"/>
            <w:shd w:val="clear" w:color="auto" w:fill="FFFFFF"/>
          </w:rPr>
          <w:t>https://doi.org/10.3390/ijerph18031214</w:t>
        </w:r>
      </w:hyperlink>
      <w:r w:rsidRPr="00F95297">
        <w:rPr>
          <w:rFonts w:cs="Times New Roman"/>
          <w:color w:val="212121"/>
          <w:szCs w:val="24"/>
          <w:shd w:val="clear" w:color="auto" w:fill="FFFFFF"/>
        </w:rPr>
        <w:t xml:space="preserve"> </w:t>
      </w:r>
    </w:p>
    <w:p w14:paraId="42532813" w14:textId="77777777" w:rsidR="00814F34" w:rsidRPr="00F95297" w:rsidRDefault="00814F34" w:rsidP="00814F34">
      <w:pPr>
        <w:tabs>
          <w:tab w:val="left" w:pos="0"/>
        </w:tabs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proofErr w:type="spellStart"/>
      <w:r w:rsidRPr="00F95297">
        <w:rPr>
          <w:rFonts w:cs="Times New Roman"/>
          <w:color w:val="222222"/>
          <w:szCs w:val="24"/>
          <w:shd w:val="clear" w:color="auto" w:fill="FFFFFF"/>
        </w:rPr>
        <w:t>Kohrt</w:t>
      </w:r>
      <w:proofErr w:type="spellEnd"/>
      <w:r w:rsidRPr="00F95297">
        <w:rPr>
          <w:rFonts w:cs="Times New Roman"/>
          <w:color w:val="222222"/>
          <w:szCs w:val="24"/>
          <w:shd w:val="clear" w:color="auto" w:fill="FFFFFF"/>
        </w:rPr>
        <w:t xml:space="preserve">, B. A., Jordans, M. J., Turner, E. L., Rai, S., Gurung, D., </w:t>
      </w:r>
      <w:proofErr w:type="spellStart"/>
      <w:r w:rsidRPr="00F95297">
        <w:rPr>
          <w:rFonts w:cs="Times New Roman"/>
          <w:color w:val="222222"/>
          <w:szCs w:val="24"/>
          <w:shd w:val="clear" w:color="auto" w:fill="FFFFFF"/>
        </w:rPr>
        <w:t>Dhakal</w:t>
      </w:r>
      <w:proofErr w:type="spellEnd"/>
      <w:r w:rsidRPr="00F95297">
        <w:rPr>
          <w:rFonts w:cs="Times New Roman"/>
          <w:color w:val="222222"/>
          <w:szCs w:val="24"/>
          <w:shd w:val="clear" w:color="auto" w:fill="FFFFFF"/>
        </w:rPr>
        <w:t xml:space="preserve">, M., ... &amp; </w:t>
      </w:r>
      <w:proofErr w:type="spellStart"/>
      <w:r w:rsidRPr="00F95297">
        <w:rPr>
          <w:rFonts w:cs="Times New Roman"/>
          <w:color w:val="222222"/>
          <w:szCs w:val="24"/>
          <w:shd w:val="clear" w:color="auto" w:fill="FFFFFF"/>
        </w:rPr>
        <w:t>Sikkema</w:t>
      </w:r>
      <w:proofErr w:type="spellEnd"/>
      <w:r w:rsidRPr="00F95297">
        <w:rPr>
          <w:rFonts w:cs="Times New Roman"/>
          <w:color w:val="222222"/>
          <w:szCs w:val="24"/>
          <w:shd w:val="clear" w:color="auto" w:fill="FFFFFF"/>
        </w:rPr>
        <w:t>, K. J. (2021). Collaboration with people with lived experience of mental illness to reduce stigma and improve primary care services: a pilot cluster randomized clinical trial. </w:t>
      </w:r>
      <w:r w:rsidRPr="00F95297">
        <w:rPr>
          <w:rFonts w:cs="Times New Roman"/>
          <w:i/>
          <w:iCs/>
          <w:color w:val="222222"/>
          <w:szCs w:val="24"/>
          <w:shd w:val="clear" w:color="auto" w:fill="FFFFFF"/>
        </w:rPr>
        <w:t>JAMA Network Open</w:t>
      </w:r>
      <w:r w:rsidRPr="00F95297">
        <w:rPr>
          <w:rFonts w:cs="Times New Roman"/>
          <w:color w:val="222222"/>
          <w:szCs w:val="24"/>
          <w:shd w:val="clear" w:color="auto" w:fill="FFFFFF"/>
        </w:rPr>
        <w:t>, </w:t>
      </w:r>
      <w:r w:rsidRPr="00F95297">
        <w:rPr>
          <w:rFonts w:cs="Times New Roman"/>
          <w:i/>
          <w:iCs/>
          <w:color w:val="222222"/>
          <w:szCs w:val="24"/>
          <w:shd w:val="clear" w:color="auto" w:fill="FFFFFF"/>
        </w:rPr>
        <w:t>4</w:t>
      </w:r>
      <w:r w:rsidRPr="00F95297">
        <w:rPr>
          <w:rFonts w:cs="Times New Roman"/>
          <w:color w:val="222222"/>
          <w:szCs w:val="24"/>
          <w:shd w:val="clear" w:color="auto" w:fill="FFFFFF"/>
        </w:rPr>
        <w:t xml:space="preserve">(11), e2131475-e2131475. </w:t>
      </w:r>
      <w:hyperlink r:id="rId14" w:history="1">
        <w:r w:rsidRPr="00F95297">
          <w:rPr>
            <w:rStyle w:val="Hyperlink"/>
            <w:rFonts w:cs="Times New Roman"/>
            <w:szCs w:val="24"/>
            <w:shd w:val="clear" w:color="auto" w:fill="FFFFFF"/>
          </w:rPr>
          <w:t>https://doi.org/</w:t>
        </w:r>
        <w:r w:rsidRPr="00F95297">
          <w:rPr>
            <w:rStyle w:val="Hyperlink"/>
            <w:szCs w:val="24"/>
          </w:rPr>
          <w:t>10.1001/jamanetworkopen.2021.31475</w:t>
        </w:r>
      </w:hyperlink>
    </w:p>
    <w:p w14:paraId="0B3533C7" w14:textId="77777777" w:rsidR="00814F34" w:rsidRPr="00F95297" w:rsidRDefault="00814F34" w:rsidP="00814F34">
      <w:pPr>
        <w:tabs>
          <w:tab w:val="left" w:pos="0"/>
        </w:tabs>
        <w:ind w:left="720" w:hanging="720"/>
        <w:rPr>
          <w:rFonts w:cs="Times New Roman"/>
          <w:color w:val="333333"/>
          <w:szCs w:val="24"/>
          <w:shd w:val="clear" w:color="auto" w:fill="FCFCFC"/>
        </w:rPr>
      </w:pPr>
      <w:r w:rsidRPr="00F95297">
        <w:rPr>
          <w:rFonts w:cs="Times New Roman"/>
          <w:color w:val="222222"/>
          <w:szCs w:val="24"/>
          <w:shd w:val="clear" w:color="auto" w:fill="FFFFFF"/>
        </w:rPr>
        <w:t xml:space="preserve">Lagunes-Cordoba, E., Davalos, A., </w:t>
      </w:r>
      <w:proofErr w:type="spellStart"/>
      <w:r w:rsidRPr="00F95297">
        <w:rPr>
          <w:rFonts w:cs="Times New Roman"/>
          <w:color w:val="222222"/>
          <w:szCs w:val="24"/>
          <w:shd w:val="clear" w:color="auto" w:fill="FFFFFF"/>
        </w:rPr>
        <w:t>Fresan</w:t>
      </w:r>
      <w:proofErr w:type="spellEnd"/>
      <w:r w:rsidRPr="00F95297">
        <w:rPr>
          <w:rFonts w:cs="Times New Roman"/>
          <w:color w:val="222222"/>
          <w:szCs w:val="24"/>
          <w:shd w:val="clear" w:color="auto" w:fill="FFFFFF"/>
        </w:rPr>
        <w:t>-Orellana, A., Jarrett, M., Gonzalez-Olvera, J., Thornicroft, G., &amp; Henderson, C. (2021). Mental health service users’ perceptions of stigma, from the general population and from mental health professionals in Mexico: A qualitative study. </w:t>
      </w:r>
      <w:r w:rsidRPr="00F95297">
        <w:rPr>
          <w:rFonts w:cs="Times New Roman"/>
          <w:i/>
          <w:iCs/>
          <w:color w:val="222222"/>
          <w:szCs w:val="24"/>
          <w:shd w:val="clear" w:color="auto" w:fill="FFFFFF"/>
        </w:rPr>
        <w:t>Community Mental Health Journal</w:t>
      </w:r>
      <w:r w:rsidRPr="00F95297">
        <w:rPr>
          <w:rFonts w:cs="Times New Roman"/>
          <w:color w:val="222222"/>
          <w:szCs w:val="24"/>
          <w:shd w:val="clear" w:color="auto" w:fill="FFFFFF"/>
        </w:rPr>
        <w:t>, </w:t>
      </w:r>
      <w:r w:rsidRPr="00F95297">
        <w:rPr>
          <w:rFonts w:cs="Times New Roman"/>
          <w:i/>
          <w:iCs/>
          <w:color w:val="222222"/>
          <w:szCs w:val="24"/>
          <w:shd w:val="clear" w:color="auto" w:fill="FFFFFF"/>
        </w:rPr>
        <w:t>57</w:t>
      </w:r>
      <w:r w:rsidRPr="00F95297">
        <w:rPr>
          <w:rFonts w:cs="Times New Roman"/>
          <w:color w:val="222222"/>
          <w:szCs w:val="24"/>
          <w:shd w:val="clear" w:color="auto" w:fill="FFFFFF"/>
        </w:rPr>
        <w:t xml:space="preserve">, 985-993. </w:t>
      </w:r>
      <w:hyperlink r:id="rId15" w:history="1">
        <w:r w:rsidRPr="00F95297">
          <w:rPr>
            <w:rStyle w:val="Hyperlink"/>
            <w:rFonts w:cs="Times New Roman"/>
            <w:szCs w:val="24"/>
            <w:shd w:val="clear" w:color="auto" w:fill="FCFCFC"/>
          </w:rPr>
          <w:t>https://doi.org/10.1007/s10597-020-00706-4</w:t>
        </w:r>
      </w:hyperlink>
      <w:r w:rsidRPr="00F95297">
        <w:rPr>
          <w:rFonts w:cs="Times New Roman"/>
          <w:color w:val="333333"/>
          <w:szCs w:val="24"/>
          <w:shd w:val="clear" w:color="auto" w:fill="FCFCFC"/>
        </w:rPr>
        <w:t xml:space="preserve"> </w:t>
      </w:r>
    </w:p>
    <w:p w14:paraId="6872F4EC" w14:textId="77777777" w:rsidR="00960D8D" w:rsidRPr="00EB0EC6" w:rsidRDefault="00960D8D" w:rsidP="00960D8D">
      <w:pPr>
        <w:rPr>
          <w:lang w:val="en-US"/>
        </w:rPr>
      </w:pPr>
    </w:p>
    <w:sectPr w:rsidR="00960D8D" w:rsidRPr="00EB0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2CFC" w14:textId="77777777" w:rsidR="001F5CBA" w:rsidRDefault="001F5CBA" w:rsidP="00A81274">
      <w:pPr>
        <w:spacing w:line="240" w:lineRule="auto"/>
      </w:pPr>
      <w:r>
        <w:separator/>
      </w:r>
    </w:p>
  </w:endnote>
  <w:endnote w:type="continuationSeparator" w:id="0">
    <w:p w14:paraId="3BBD6000" w14:textId="77777777" w:rsidR="001F5CBA" w:rsidRDefault="001F5CBA" w:rsidP="00A8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5883" w14:textId="77777777" w:rsidR="001F5CBA" w:rsidRDefault="001F5CBA" w:rsidP="00A81274">
      <w:pPr>
        <w:spacing w:line="240" w:lineRule="auto"/>
      </w:pPr>
      <w:r>
        <w:separator/>
      </w:r>
    </w:p>
  </w:footnote>
  <w:footnote w:type="continuationSeparator" w:id="0">
    <w:p w14:paraId="2CF3E1C5" w14:textId="77777777" w:rsidR="001F5CBA" w:rsidRDefault="001F5CBA" w:rsidP="00A812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260E"/>
    <w:multiLevelType w:val="hybridMultilevel"/>
    <w:tmpl w:val="3FC4D43A"/>
    <w:lvl w:ilvl="0" w:tplc="1284CE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E10"/>
    <w:multiLevelType w:val="hybridMultilevel"/>
    <w:tmpl w:val="9AD45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933981">
    <w:abstractNumId w:val="0"/>
  </w:num>
  <w:num w:numId="2" w16cid:durableId="3192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74"/>
    <w:rsid w:val="00014439"/>
    <w:rsid w:val="000854E3"/>
    <w:rsid w:val="00100B6C"/>
    <w:rsid w:val="00127F8E"/>
    <w:rsid w:val="001B01D1"/>
    <w:rsid w:val="001B4680"/>
    <w:rsid w:val="001F5CBA"/>
    <w:rsid w:val="002A106B"/>
    <w:rsid w:val="002D51CD"/>
    <w:rsid w:val="00320CC4"/>
    <w:rsid w:val="00330B5A"/>
    <w:rsid w:val="00345982"/>
    <w:rsid w:val="004727DB"/>
    <w:rsid w:val="00547425"/>
    <w:rsid w:val="00574D2A"/>
    <w:rsid w:val="00586DC6"/>
    <w:rsid w:val="006656BC"/>
    <w:rsid w:val="007333E7"/>
    <w:rsid w:val="00814F34"/>
    <w:rsid w:val="00924D48"/>
    <w:rsid w:val="00960D8D"/>
    <w:rsid w:val="00980E85"/>
    <w:rsid w:val="009A3647"/>
    <w:rsid w:val="009A69B3"/>
    <w:rsid w:val="009D0F22"/>
    <w:rsid w:val="009E0338"/>
    <w:rsid w:val="00A2538B"/>
    <w:rsid w:val="00A81274"/>
    <w:rsid w:val="00B10CFD"/>
    <w:rsid w:val="00C27DF1"/>
    <w:rsid w:val="00D01183"/>
    <w:rsid w:val="00D17319"/>
    <w:rsid w:val="00D56ABF"/>
    <w:rsid w:val="00E377BE"/>
    <w:rsid w:val="00EB0EC6"/>
    <w:rsid w:val="00F95297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B188"/>
  <w15:chartTrackingRefBased/>
  <w15:docId w15:val="{3F8E8CFD-93E2-40C7-9A94-2FC1C13A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2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7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1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74"/>
    <w:rPr>
      <w:lang w:val="en-IE"/>
    </w:rPr>
  </w:style>
  <w:style w:type="paragraph" w:styleId="ListParagraph">
    <w:name w:val="List Paragraph"/>
    <w:basedOn w:val="Normal"/>
    <w:uiPriority w:val="34"/>
    <w:qFormat/>
    <w:rsid w:val="00D1731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60D8D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960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597-020-00706-4" TargetMode="External"/><Relationship Id="rId13" Type="http://schemas.openxmlformats.org/officeDocument/2006/relationships/hyperlink" Target="https://doi.org/10.3390/ijerph180312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0597-020-00706-4" TargetMode="External"/><Relationship Id="rId12" Type="http://schemas.openxmlformats.org/officeDocument/2006/relationships/hyperlink" Target="https://jamanetwork.com/journals/jamanetworkopen/fullarticle/27857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1/jamanetworkopen.2021.314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0597-020-00706-4" TargetMode="External"/><Relationship Id="rId10" Type="http://schemas.openxmlformats.org/officeDocument/2006/relationships/hyperlink" Target="https://www.mdpi.com/1660-4601/18/3/1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8031214" TargetMode="External"/><Relationship Id="rId14" Type="http://schemas.openxmlformats.org/officeDocument/2006/relationships/hyperlink" Target="https://doi.org/10.1001/jamanetworkopen.2021.31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2023-04-02T13:30:00Z</dcterms:created>
  <dcterms:modified xsi:type="dcterms:W3CDTF">2023-04-02T14:49:00Z</dcterms:modified>
</cp:coreProperties>
</file>