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95BC2" w14:textId="35032582" w:rsidR="00193DE7" w:rsidRPr="00340C4D" w:rsidRDefault="00193DE7" w:rsidP="00340C4D">
      <w:pPr>
        <w:spacing w:after="0" w:line="480" w:lineRule="auto"/>
        <w:rPr>
          <w:rFonts w:cs="Times New Roman"/>
          <w:szCs w:val="24"/>
        </w:rPr>
      </w:pPr>
    </w:p>
    <w:p w14:paraId="4BCEEDC4" w14:textId="23DBE4E5" w:rsidR="00C93C40" w:rsidRPr="00340C4D" w:rsidRDefault="00C93C40" w:rsidP="00340C4D">
      <w:pPr>
        <w:spacing w:after="0" w:line="480" w:lineRule="auto"/>
        <w:jc w:val="center"/>
        <w:rPr>
          <w:rFonts w:cs="Times New Roman"/>
          <w:b/>
          <w:szCs w:val="24"/>
        </w:rPr>
      </w:pPr>
      <w:r w:rsidRPr="00340C4D">
        <w:rPr>
          <w:rFonts w:cs="Times New Roman"/>
          <w:b/>
          <w:szCs w:val="24"/>
        </w:rPr>
        <w:t>Article Analysis 1</w:t>
      </w:r>
    </w:p>
    <w:tbl>
      <w:tblPr>
        <w:tblW w:w="11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3164"/>
        <w:gridCol w:w="3165"/>
        <w:gridCol w:w="3165"/>
      </w:tblGrid>
      <w:tr w:rsidR="00074D72" w:rsidRPr="00340C4D" w14:paraId="10AA02BF" w14:textId="77777777" w:rsidTr="005E12A4">
        <w:tc>
          <w:tcPr>
            <w:tcW w:w="2065" w:type="dxa"/>
            <w:shd w:val="clear" w:color="auto" w:fill="auto"/>
          </w:tcPr>
          <w:p w14:paraId="501B36C2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 xml:space="preserve">Article Citation and Permalink </w:t>
            </w:r>
            <w:r w:rsidRPr="00340C4D">
              <w:rPr>
                <w:rFonts w:cs="Times New Roman"/>
                <w:szCs w:val="24"/>
              </w:rPr>
              <w:t>(APA format)</w:t>
            </w:r>
          </w:p>
        </w:tc>
        <w:tc>
          <w:tcPr>
            <w:tcW w:w="3164" w:type="dxa"/>
          </w:tcPr>
          <w:p w14:paraId="0DEC288D" w14:textId="77777777" w:rsidR="002D68AF" w:rsidRPr="00340C4D" w:rsidRDefault="002D68AF" w:rsidP="00340C4D">
            <w:pPr>
              <w:tabs>
                <w:tab w:val="num" w:pos="720"/>
              </w:tabs>
              <w:spacing w:after="0" w:line="480" w:lineRule="auto"/>
              <w:ind w:left="720" w:hanging="720"/>
              <w:rPr>
                <w:rFonts w:cs="Times New Roman"/>
                <w:szCs w:val="24"/>
              </w:rPr>
            </w:pPr>
            <w:proofErr w:type="spellStart"/>
            <w:r w:rsidRPr="00340C4D">
              <w:rPr>
                <w:rFonts w:cs="Times New Roman"/>
                <w:szCs w:val="24"/>
              </w:rPr>
              <w:t>Blaauw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, E., </w:t>
            </w:r>
            <w:proofErr w:type="spellStart"/>
            <w:r w:rsidRPr="00340C4D">
              <w:rPr>
                <w:rFonts w:cs="Times New Roman"/>
                <w:szCs w:val="24"/>
              </w:rPr>
              <w:t>Riemersma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, Y., </w:t>
            </w:r>
            <w:proofErr w:type="spellStart"/>
            <w:r w:rsidRPr="00340C4D">
              <w:rPr>
                <w:rFonts w:cs="Times New Roman"/>
                <w:szCs w:val="24"/>
              </w:rPr>
              <w:t>Hartsuiker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, C., </w:t>
            </w:r>
            <w:proofErr w:type="spellStart"/>
            <w:r w:rsidRPr="00340C4D">
              <w:rPr>
                <w:rFonts w:cs="Times New Roman"/>
                <w:szCs w:val="24"/>
              </w:rPr>
              <w:t>Hoiting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, J., &amp; </w:t>
            </w:r>
            <w:proofErr w:type="spellStart"/>
            <w:r w:rsidRPr="00340C4D">
              <w:rPr>
                <w:rFonts w:cs="Times New Roman"/>
                <w:szCs w:val="24"/>
              </w:rPr>
              <w:t>Venema</w:t>
            </w:r>
            <w:proofErr w:type="spellEnd"/>
            <w:r w:rsidRPr="00340C4D">
              <w:rPr>
                <w:rFonts w:cs="Times New Roman"/>
                <w:szCs w:val="24"/>
              </w:rPr>
              <w:t>, S. (2019). The Influence of a Short Message Service Reminder on Non-Attendance in Addiction Care. </w:t>
            </w:r>
            <w:r w:rsidRPr="00340C4D">
              <w:rPr>
                <w:rFonts w:cs="Times New Roman"/>
                <w:i/>
                <w:iCs/>
                <w:szCs w:val="24"/>
              </w:rPr>
              <w:t>Substance Use &amp; Misuse</w:t>
            </w:r>
            <w:r w:rsidRPr="00340C4D">
              <w:rPr>
                <w:rFonts w:cs="Times New Roman"/>
                <w:szCs w:val="24"/>
              </w:rPr>
              <w:t>, </w:t>
            </w:r>
            <w:r w:rsidRPr="00340C4D">
              <w:rPr>
                <w:rFonts w:cs="Times New Roman"/>
                <w:i/>
                <w:iCs/>
                <w:szCs w:val="24"/>
              </w:rPr>
              <w:t>54</w:t>
            </w:r>
            <w:r w:rsidRPr="00340C4D">
              <w:rPr>
                <w:rFonts w:cs="Times New Roman"/>
                <w:szCs w:val="24"/>
              </w:rPr>
              <w:t xml:space="preserve">(14), 2420-2424. </w:t>
            </w:r>
          </w:p>
          <w:p w14:paraId="69E9C40A" w14:textId="6F6DA801" w:rsidR="002D68AF" w:rsidRPr="00340C4D" w:rsidRDefault="002D68AF" w:rsidP="00340C4D">
            <w:pPr>
              <w:tabs>
                <w:tab w:val="num" w:pos="720"/>
              </w:tabs>
              <w:spacing w:after="0" w:line="480" w:lineRule="auto"/>
              <w:ind w:left="720" w:hanging="720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Link: </w:t>
            </w:r>
            <w:hyperlink r:id="rId9" w:history="1">
              <w:r w:rsidRPr="00340C4D">
                <w:rPr>
                  <w:rStyle w:val="Hyperlink"/>
                  <w:rFonts w:cs="Times New Roman"/>
                  <w:szCs w:val="24"/>
                </w:rPr>
                <w:t>http://dx.doi.org/10.10</w:t>
              </w:r>
              <w:r w:rsidRPr="00340C4D">
                <w:rPr>
                  <w:rStyle w:val="Hyperlink"/>
                  <w:rFonts w:cs="Times New Roman"/>
                  <w:szCs w:val="24"/>
                </w:rPr>
                <w:lastRenderedPageBreak/>
                <w:t>80/10826084.2019.1650774</w:t>
              </w:r>
            </w:hyperlink>
          </w:p>
          <w:p w14:paraId="3F10A045" w14:textId="7791F5A9" w:rsidR="00074D72" w:rsidRPr="00340C4D" w:rsidRDefault="00074D72" w:rsidP="00340C4D">
            <w:pPr>
              <w:spacing w:after="0" w:line="480" w:lineRule="auto"/>
              <w:ind w:left="720" w:hanging="720"/>
              <w:contextualSpacing/>
              <w:rPr>
                <w:rFonts w:cs="Times New Roman"/>
                <w:b/>
                <w:szCs w:val="24"/>
              </w:rPr>
            </w:pPr>
          </w:p>
        </w:tc>
        <w:tc>
          <w:tcPr>
            <w:tcW w:w="3165" w:type="dxa"/>
          </w:tcPr>
          <w:p w14:paraId="733F5657" w14:textId="77777777" w:rsidR="00796FA8" w:rsidRPr="00340C4D" w:rsidRDefault="00D67B3C" w:rsidP="00340C4D">
            <w:pPr>
              <w:tabs>
                <w:tab w:val="num" w:pos="720"/>
              </w:tabs>
              <w:spacing w:after="0" w:line="480" w:lineRule="auto"/>
              <w:ind w:left="720" w:hanging="720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lastRenderedPageBreak/>
              <w:t xml:space="preserve">Scali, S. T., Giles, K. A., </w:t>
            </w:r>
            <w:proofErr w:type="spellStart"/>
            <w:r w:rsidRPr="00340C4D">
              <w:rPr>
                <w:rFonts w:cs="Times New Roman"/>
                <w:szCs w:val="24"/>
              </w:rPr>
              <w:t>Kubilis</w:t>
            </w:r>
            <w:proofErr w:type="spellEnd"/>
            <w:r w:rsidRPr="00340C4D">
              <w:rPr>
                <w:rFonts w:cs="Times New Roman"/>
                <w:szCs w:val="24"/>
              </w:rPr>
              <w:t>, P., Beck, A. W., Crippen, C. J., Hughes, S. J., ... &amp; Stone, D. H. (2020). Impact of hospital volume on patient safety indicators and failure to rescue following open aortic aneurysm repair. </w:t>
            </w:r>
            <w:r w:rsidRPr="00340C4D">
              <w:rPr>
                <w:rFonts w:cs="Times New Roman"/>
                <w:i/>
                <w:iCs/>
                <w:szCs w:val="24"/>
              </w:rPr>
              <w:t xml:space="preserve">Journal of vascular </w:t>
            </w:r>
            <w:r w:rsidRPr="00340C4D">
              <w:rPr>
                <w:rFonts w:cs="Times New Roman"/>
                <w:i/>
                <w:iCs/>
                <w:szCs w:val="24"/>
              </w:rPr>
              <w:lastRenderedPageBreak/>
              <w:t>surgery</w:t>
            </w:r>
            <w:r w:rsidRPr="00340C4D">
              <w:rPr>
                <w:rFonts w:cs="Times New Roman"/>
                <w:szCs w:val="24"/>
              </w:rPr>
              <w:t>, </w:t>
            </w:r>
            <w:r w:rsidRPr="00340C4D">
              <w:rPr>
                <w:rFonts w:cs="Times New Roman"/>
                <w:i/>
                <w:iCs/>
                <w:szCs w:val="24"/>
              </w:rPr>
              <w:t>71</w:t>
            </w:r>
            <w:r w:rsidRPr="00340C4D">
              <w:rPr>
                <w:rFonts w:cs="Times New Roman"/>
                <w:szCs w:val="24"/>
              </w:rPr>
              <w:t xml:space="preserve">(4), 1135-1146. </w:t>
            </w:r>
          </w:p>
          <w:p w14:paraId="7BE15134" w14:textId="4807EDEC" w:rsidR="00074D72" w:rsidRPr="00340C4D" w:rsidRDefault="00796FA8" w:rsidP="00340C4D">
            <w:pPr>
              <w:tabs>
                <w:tab w:val="num" w:pos="720"/>
              </w:tabs>
              <w:spacing w:after="0" w:line="480" w:lineRule="auto"/>
              <w:ind w:left="720" w:hanging="720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Link: </w:t>
            </w:r>
            <w:hyperlink r:id="rId10" w:history="1">
              <w:r w:rsidRPr="00340C4D">
                <w:rPr>
                  <w:rStyle w:val="Hyperlink"/>
                  <w:rFonts w:cs="Times New Roman"/>
                  <w:szCs w:val="24"/>
                </w:rPr>
                <w:t>https://doi.org/10.1016/j.jvs.2019.06.194</w:t>
              </w:r>
            </w:hyperlink>
          </w:p>
        </w:tc>
        <w:tc>
          <w:tcPr>
            <w:tcW w:w="3165" w:type="dxa"/>
          </w:tcPr>
          <w:p w14:paraId="0200951D" w14:textId="77777777" w:rsidR="00A5241B" w:rsidRPr="00340C4D" w:rsidRDefault="00A5241B" w:rsidP="00340C4D">
            <w:pPr>
              <w:spacing w:after="0" w:line="480" w:lineRule="auto"/>
              <w:ind w:left="720" w:hanging="720"/>
              <w:contextualSpacing/>
              <w:rPr>
                <w:rFonts w:cs="Times New Roman"/>
                <w:szCs w:val="24"/>
              </w:rPr>
            </w:pPr>
            <w:proofErr w:type="spellStart"/>
            <w:r w:rsidRPr="00340C4D">
              <w:rPr>
                <w:rFonts w:cs="Times New Roman"/>
                <w:szCs w:val="24"/>
              </w:rPr>
              <w:lastRenderedPageBreak/>
              <w:t>Solvik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, E., &amp; </w:t>
            </w:r>
            <w:proofErr w:type="spellStart"/>
            <w:r w:rsidRPr="00340C4D">
              <w:rPr>
                <w:rFonts w:cs="Times New Roman"/>
                <w:szCs w:val="24"/>
              </w:rPr>
              <w:t>Struksnes</w:t>
            </w:r>
            <w:proofErr w:type="spellEnd"/>
            <w:r w:rsidRPr="00340C4D">
              <w:rPr>
                <w:rFonts w:cs="Times New Roman"/>
                <w:szCs w:val="24"/>
              </w:rPr>
              <w:t>, S. (2018). Training nursing skills: a quantitative study of nursing students’ experiences before and after clinical practice. </w:t>
            </w:r>
            <w:r w:rsidRPr="00340C4D">
              <w:rPr>
                <w:rFonts w:cs="Times New Roman"/>
                <w:i/>
                <w:iCs/>
                <w:szCs w:val="24"/>
              </w:rPr>
              <w:t>Nursing research and practice</w:t>
            </w:r>
            <w:r w:rsidRPr="00340C4D">
              <w:rPr>
                <w:rFonts w:cs="Times New Roman"/>
                <w:szCs w:val="24"/>
              </w:rPr>
              <w:t>, </w:t>
            </w:r>
            <w:r w:rsidRPr="00340C4D">
              <w:rPr>
                <w:rFonts w:cs="Times New Roman"/>
                <w:i/>
                <w:iCs/>
                <w:szCs w:val="24"/>
              </w:rPr>
              <w:t>2018</w:t>
            </w:r>
            <w:r w:rsidRPr="00340C4D">
              <w:rPr>
                <w:rFonts w:cs="Times New Roman"/>
                <w:szCs w:val="24"/>
              </w:rPr>
              <w:t>.</w:t>
            </w:r>
          </w:p>
          <w:p w14:paraId="0DF52570" w14:textId="6B6523DE" w:rsidR="00074D72" w:rsidRPr="00340C4D" w:rsidRDefault="00A5241B" w:rsidP="00340C4D">
            <w:pPr>
              <w:spacing w:after="0" w:line="480" w:lineRule="auto"/>
              <w:ind w:left="720" w:hanging="720"/>
              <w:contextualSpacing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Link: </w:t>
            </w:r>
            <w:hyperlink r:id="rId11" w:history="1">
              <w:r w:rsidRPr="00340C4D">
                <w:rPr>
                  <w:rStyle w:val="Hyperlink"/>
                  <w:rFonts w:cs="Times New Roman"/>
                  <w:szCs w:val="24"/>
                </w:rPr>
                <w:t>https://www.hindawi.com/journals/nrp/2018/8984028/</w:t>
              </w:r>
            </w:hyperlink>
          </w:p>
        </w:tc>
      </w:tr>
      <w:tr w:rsidR="00074D72" w:rsidRPr="00340C4D" w14:paraId="646EA1F1" w14:textId="77777777" w:rsidTr="005E12A4">
        <w:tc>
          <w:tcPr>
            <w:tcW w:w="2065" w:type="dxa"/>
            <w:shd w:val="clear" w:color="auto" w:fill="A6A6A6" w:themeFill="background1" w:themeFillShade="A6"/>
          </w:tcPr>
          <w:p w14:paraId="653810AF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>Point</w:t>
            </w:r>
          </w:p>
        </w:tc>
        <w:tc>
          <w:tcPr>
            <w:tcW w:w="3164" w:type="dxa"/>
            <w:shd w:val="clear" w:color="auto" w:fill="A6A6A6" w:themeFill="background1" w:themeFillShade="A6"/>
          </w:tcPr>
          <w:p w14:paraId="32E4E55D" w14:textId="77777777" w:rsidR="00074D72" w:rsidRPr="00340C4D" w:rsidRDefault="00074D72" w:rsidP="00340C4D">
            <w:pPr>
              <w:tabs>
                <w:tab w:val="left" w:pos="2520"/>
                <w:tab w:val="center" w:pos="3132"/>
              </w:tabs>
              <w:spacing w:after="0" w:line="480" w:lineRule="auto"/>
              <w:jc w:val="center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>Description</w:t>
            </w:r>
          </w:p>
        </w:tc>
        <w:tc>
          <w:tcPr>
            <w:tcW w:w="3165" w:type="dxa"/>
            <w:shd w:val="clear" w:color="auto" w:fill="A6A6A6" w:themeFill="background1" w:themeFillShade="A6"/>
          </w:tcPr>
          <w:p w14:paraId="123FE7D2" w14:textId="77777777" w:rsidR="00074D72" w:rsidRPr="00340C4D" w:rsidRDefault="00074D72" w:rsidP="00340C4D">
            <w:pPr>
              <w:tabs>
                <w:tab w:val="left" w:pos="2520"/>
                <w:tab w:val="center" w:pos="3132"/>
              </w:tabs>
              <w:spacing w:after="0" w:line="480" w:lineRule="auto"/>
              <w:jc w:val="center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>Description</w:t>
            </w:r>
          </w:p>
        </w:tc>
        <w:tc>
          <w:tcPr>
            <w:tcW w:w="3165" w:type="dxa"/>
            <w:shd w:val="clear" w:color="auto" w:fill="A6A6A6" w:themeFill="background1" w:themeFillShade="A6"/>
          </w:tcPr>
          <w:p w14:paraId="38AD1E42" w14:textId="77777777" w:rsidR="00074D72" w:rsidRPr="00340C4D" w:rsidRDefault="00074D72" w:rsidP="00340C4D">
            <w:pPr>
              <w:tabs>
                <w:tab w:val="left" w:pos="2520"/>
                <w:tab w:val="center" w:pos="3132"/>
              </w:tabs>
              <w:spacing w:after="0" w:line="480" w:lineRule="auto"/>
              <w:jc w:val="center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>Description</w:t>
            </w:r>
          </w:p>
        </w:tc>
      </w:tr>
      <w:tr w:rsidR="00074D72" w:rsidRPr="00340C4D" w14:paraId="729B0920" w14:textId="77777777" w:rsidTr="005E12A4">
        <w:tc>
          <w:tcPr>
            <w:tcW w:w="2065" w:type="dxa"/>
            <w:shd w:val="clear" w:color="auto" w:fill="auto"/>
          </w:tcPr>
          <w:p w14:paraId="03477DD6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>Broad Topic Area/Title</w:t>
            </w:r>
          </w:p>
        </w:tc>
        <w:tc>
          <w:tcPr>
            <w:tcW w:w="3164" w:type="dxa"/>
          </w:tcPr>
          <w:p w14:paraId="68B321B4" w14:textId="17D015DC" w:rsidR="00074D72" w:rsidRPr="00340C4D" w:rsidRDefault="000B4238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The Influence of a Short Message Service Reminder on Non-Attendance in Addiction Care</w:t>
            </w:r>
          </w:p>
        </w:tc>
        <w:tc>
          <w:tcPr>
            <w:tcW w:w="3165" w:type="dxa"/>
          </w:tcPr>
          <w:p w14:paraId="3B20E19E" w14:textId="5D932461" w:rsidR="00074D72" w:rsidRPr="00340C4D" w:rsidRDefault="00D833F4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color w:val="222222"/>
                <w:szCs w:val="24"/>
                <w:shd w:val="clear" w:color="auto" w:fill="FFFFFF"/>
              </w:rPr>
              <w:t>Impact of hospital volume on patient safety indicators and failure to rescue following open aortic aneurysm repair</w:t>
            </w:r>
          </w:p>
        </w:tc>
        <w:tc>
          <w:tcPr>
            <w:tcW w:w="3165" w:type="dxa"/>
          </w:tcPr>
          <w:p w14:paraId="777C321A" w14:textId="2F116996" w:rsidR="00074D72" w:rsidRPr="00340C4D" w:rsidRDefault="007B7B14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Nursing students’ experiences before and after clinical practice</w:t>
            </w:r>
          </w:p>
        </w:tc>
      </w:tr>
      <w:tr w:rsidR="00074D72" w:rsidRPr="00340C4D" w14:paraId="07C6ED08" w14:textId="77777777" w:rsidTr="005E12A4">
        <w:trPr>
          <w:trHeight w:val="555"/>
        </w:trPr>
        <w:tc>
          <w:tcPr>
            <w:tcW w:w="2065" w:type="dxa"/>
            <w:shd w:val="clear" w:color="auto" w:fill="auto"/>
          </w:tcPr>
          <w:p w14:paraId="40BA103A" w14:textId="6FA737F9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 xml:space="preserve">Identify </w:t>
            </w:r>
            <w:r w:rsidR="0053187E" w:rsidRPr="00340C4D">
              <w:rPr>
                <w:rFonts w:cs="Times New Roman"/>
                <w:b/>
                <w:szCs w:val="24"/>
              </w:rPr>
              <w:t xml:space="preserve">Independent and Dependent </w:t>
            </w:r>
            <w:r w:rsidRPr="00340C4D">
              <w:rPr>
                <w:rFonts w:cs="Times New Roman"/>
                <w:b/>
                <w:szCs w:val="24"/>
              </w:rPr>
              <w:t>Variables</w:t>
            </w:r>
            <w:r w:rsidR="0053187E" w:rsidRPr="00340C4D">
              <w:rPr>
                <w:rFonts w:cs="Times New Roman"/>
                <w:b/>
                <w:szCs w:val="24"/>
              </w:rPr>
              <w:t xml:space="preserve"> </w:t>
            </w:r>
            <w:r w:rsidR="000F4762" w:rsidRPr="00340C4D">
              <w:rPr>
                <w:rFonts w:cs="Times New Roman"/>
                <w:b/>
                <w:szCs w:val="24"/>
              </w:rPr>
              <w:t>and Type</w:t>
            </w:r>
            <w:r w:rsidRPr="00340C4D">
              <w:rPr>
                <w:rFonts w:cs="Times New Roman"/>
                <w:b/>
                <w:szCs w:val="24"/>
              </w:rPr>
              <w:t xml:space="preserve"> of Data for the Variables</w:t>
            </w:r>
          </w:p>
        </w:tc>
        <w:tc>
          <w:tcPr>
            <w:tcW w:w="3164" w:type="dxa"/>
          </w:tcPr>
          <w:p w14:paraId="73F8EE60" w14:textId="77777777" w:rsidR="00074D72" w:rsidRPr="00340C4D" w:rsidRDefault="000B4238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IV: </w:t>
            </w:r>
            <w:r w:rsidR="00860EE1" w:rsidRPr="00340C4D">
              <w:rPr>
                <w:rFonts w:cs="Times New Roman"/>
                <w:szCs w:val="24"/>
              </w:rPr>
              <w:t>SMS reminders</w:t>
            </w:r>
          </w:p>
          <w:p w14:paraId="3D0D67CC" w14:textId="2674176B" w:rsidR="00860EE1" w:rsidRPr="00340C4D" w:rsidRDefault="00860EE1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DV: non-attendance in addiction care </w:t>
            </w:r>
          </w:p>
        </w:tc>
        <w:tc>
          <w:tcPr>
            <w:tcW w:w="3165" w:type="dxa"/>
          </w:tcPr>
          <w:p w14:paraId="3AD24F94" w14:textId="499D8ECE" w:rsidR="00EF08DD" w:rsidRPr="00340C4D" w:rsidRDefault="00EF08DD" w:rsidP="00340C4D">
            <w:pPr>
              <w:spacing w:after="0" w:line="480" w:lineRule="auto"/>
              <w:rPr>
                <w:rFonts w:eastAsia="Calibri" w:cs="Times New Roman"/>
                <w:szCs w:val="24"/>
              </w:rPr>
            </w:pPr>
            <w:r w:rsidRPr="00340C4D">
              <w:rPr>
                <w:rFonts w:eastAsia="Calibri" w:cs="Times New Roman"/>
                <w:szCs w:val="24"/>
              </w:rPr>
              <w:t>D- risk and interhospital variation in PSI events</w:t>
            </w:r>
            <w:r w:rsidR="00C204A9" w:rsidRPr="00340C4D">
              <w:rPr>
                <w:rFonts w:eastAsia="Calibri" w:cs="Times New Roman"/>
                <w:szCs w:val="24"/>
              </w:rPr>
              <w:t>; discrete data</w:t>
            </w:r>
          </w:p>
          <w:p w14:paraId="4653D812" w14:textId="75F2753F" w:rsidR="00074D72" w:rsidRPr="00340C4D" w:rsidRDefault="00EF08DD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I-hospital volume</w:t>
            </w:r>
            <w:r w:rsidR="006677A7" w:rsidRPr="00340C4D">
              <w:rPr>
                <w:rFonts w:cs="Times New Roman"/>
                <w:szCs w:val="24"/>
              </w:rPr>
              <w:t xml:space="preserve">; </w:t>
            </w:r>
            <w:r w:rsidR="00C204A9" w:rsidRPr="00340C4D">
              <w:rPr>
                <w:rFonts w:cs="Times New Roman"/>
                <w:szCs w:val="24"/>
              </w:rPr>
              <w:t>Discrete data</w:t>
            </w:r>
          </w:p>
        </w:tc>
        <w:tc>
          <w:tcPr>
            <w:tcW w:w="3165" w:type="dxa"/>
          </w:tcPr>
          <w:p w14:paraId="1CD8AECF" w14:textId="77777777" w:rsidR="00E94A95" w:rsidRPr="00340C4D" w:rsidRDefault="00E94A95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Independent:</w:t>
            </w:r>
          </w:p>
          <w:p w14:paraId="3FB6FD36" w14:textId="77777777" w:rsidR="00E94A95" w:rsidRPr="00340C4D" w:rsidRDefault="00E94A95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Clinical practice- categorical, before and after </w:t>
            </w:r>
          </w:p>
          <w:p w14:paraId="6A1CDB6E" w14:textId="77777777" w:rsidR="00E94A95" w:rsidRPr="00340C4D" w:rsidRDefault="00E94A95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Dependent:</w:t>
            </w:r>
          </w:p>
          <w:p w14:paraId="19951803" w14:textId="2212BF74" w:rsidR="00074D72" w:rsidRPr="00340C4D" w:rsidRDefault="00DD03EB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Nursing students’ </w:t>
            </w:r>
            <w:r w:rsidR="00E94A95" w:rsidRPr="00340C4D">
              <w:rPr>
                <w:rFonts w:cs="Times New Roman"/>
                <w:szCs w:val="24"/>
              </w:rPr>
              <w:t>experience- binary, with or without</w:t>
            </w:r>
          </w:p>
        </w:tc>
      </w:tr>
      <w:tr w:rsidR="00074D72" w:rsidRPr="00340C4D" w14:paraId="251DC1F8" w14:textId="77777777" w:rsidTr="005E12A4">
        <w:tc>
          <w:tcPr>
            <w:tcW w:w="2065" w:type="dxa"/>
            <w:shd w:val="clear" w:color="auto" w:fill="auto"/>
          </w:tcPr>
          <w:p w14:paraId="757FF963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lastRenderedPageBreak/>
              <w:t>Population of Interest for the Study</w:t>
            </w:r>
          </w:p>
        </w:tc>
        <w:tc>
          <w:tcPr>
            <w:tcW w:w="3164" w:type="dxa"/>
          </w:tcPr>
          <w:p w14:paraId="498F2E9F" w14:textId="69A90B72" w:rsidR="00074D72" w:rsidRPr="00340C4D" w:rsidRDefault="00860EE1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population of interest is individuals attending </w:t>
            </w:r>
            <w:r w:rsidR="00E61FB4" w:rsidRPr="00340C4D">
              <w:rPr>
                <w:rFonts w:cs="Times New Roman"/>
                <w:szCs w:val="24"/>
              </w:rPr>
              <w:t>addiction care in the north of Netherlands.</w:t>
            </w:r>
          </w:p>
        </w:tc>
        <w:tc>
          <w:tcPr>
            <w:tcW w:w="3165" w:type="dxa"/>
          </w:tcPr>
          <w:p w14:paraId="14FC53B8" w14:textId="0FCC2208" w:rsidR="00074D72" w:rsidRPr="00340C4D" w:rsidRDefault="00312212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population involved in this research study is individuals that had received </w:t>
            </w:r>
            <w:r w:rsidR="005B00EB" w:rsidRPr="00340C4D">
              <w:rPr>
                <w:rFonts w:cs="Times New Roman"/>
                <w:szCs w:val="24"/>
              </w:rPr>
              <w:t xml:space="preserve">open abdominal aortic aneurysm (OAAA) repair </w:t>
            </w:r>
          </w:p>
        </w:tc>
        <w:tc>
          <w:tcPr>
            <w:tcW w:w="3165" w:type="dxa"/>
          </w:tcPr>
          <w:p w14:paraId="2F247809" w14:textId="6917090A" w:rsidR="00074D72" w:rsidRPr="00340C4D" w:rsidRDefault="006C47EE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Nursing students in their first year of the bachelor’s program</w:t>
            </w:r>
          </w:p>
        </w:tc>
      </w:tr>
      <w:tr w:rsidR="00074D72" w:rsidRPr="00340C4D" w14:paraId="451ED086" w14:textId="77777777" w:rsidTr="005E12A4">
        <w:trPr>
          <w:trHeight w:val="585"/>
        </w:trPr>
        <w:tc>
          <w:tcPr>
            <w:tcW w:w="2065" w:type="dxa"/>
            <w:shd w:val="clear" w:color="auto" w:fill="auto"/>
          </w:tcPr>
          <w:p w14:paraId="01A712A0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 xml:space="preserve">Sample </w:t>
            </w:r>
          </w:p>
        </w:tc>
        <w:tc>
          <w:tcPr>
            <w:tcW w:w="3164" w:type="dxa"/>
          </w:tcPr>
          <w:p w14:paraId="01823B34" w14:textId="1B9425B6" w:rsidR="00074D72" w:rsidRPr="00340C4D" w:rsidRDefault="006136FF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sample included registrations of 193.474 appointments in the years 2013 to 2017, representing 12, 797 unique patients with substance use disorders, who had enrolled voluntarily at </w:t>
            </w:r>
            <w:proofErr w:type="spellStart"/>
            <w:r w:rsidRPr="00340C4D">
              <w:rPr>
                <w:rFonts w:cs="Times New Roman"/>
                <w:szCs w:val="24"/>
              </w:rPr>
              <w:t>Verslavingszorg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 Noord Nederland (VNN) for an individual outpatient treatment program. </w:t>
            </w:r>
            <w:r w:rsidRPr="00340C4D">
              <w:rPr>
                <w:rFonts w:cs="Times New Roman"/>
                <w:szCs w:val="24"/>
              </w:rPr>
              <w:lastRenderedPageBreak/>
              <w:t>Specifically, the sample utilized included 28, 086 intake appointments and 165, 388 treatment appointments</w:t>
            </w:r>
            <w:r w:rsidR="00CA0CD7" w:rsidRPr="00340C4D">
              <w:rPr>
                <w:rFonts w:cs="Times New Roman"/>
                <w:szCs w:val="24"/>
              </w:rPr>
              <w:t xml:space="preserve"> from </w:t>
            </w:r>
            <w:r w:rsidR="00E61FB4" w:rsidRPr="00340C4D">
              <w:rPr>
                <w:rFonts w:cs="Times New Roman"/>
                <w:szCs w:val="24"/>
              </w:rPr>
              <w:t>a specialized institution for addiction care in the north of Netherlands.</w:t>
            </w:r>
          </w:p>
        </w:tc>
        <w:tc>
          <w:tcPr>
            <w:tcW w:w="3165" w:type="dxa"/>
          </w:tcPr>
          <w:p w14:paraId="7C25DA68" w14:textId="71739589" w:rsidR="00074D72" w:rsidRPr="00340C4D" w:rsidRDefault="00D7778E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lastRenderedPageBreak/>
              <w:t xml:space="preserve">The sample selected </w:t>
            </w:r>
            <w:r w:rsidR="000D190B" w:rsidRPr="00340C4D">
              <w:rPr>
                <w:rFonts w:cs="Times New Roman"/>
                <w:szCs w:val="24"/>
              </w:rPr>
              <w:t xml:space="preserve">involved the exploration of Vizient database whereby </w:t>
            </w:r>
            <w:r w:rsidR="00270863" w:rsidRPr="00340C4D">
              <w:rPr>
                <w:rFonts w:cs="Times New Roman"/>
                <w:szCs w:val="24"/>
              </w:rPr>
              <w:t xml:space="preserve">174 academic/nonacademic hospitals were queried for all OAAA repairs. </w:t>
            </w:r>
            <w:r w:rsidR="00AF7F87" w:rsidRPr="00340C4D">
              <w:rPr>
                <w:rFonts w:cs="Times New Roman"/>
                <w:szCs w:val="24"/>
              </w:rPr>
              <w:t xml:space="preserve">The sample involved included </w:t>
            </w:r>
            <w:r w:rsidR="00A91FAD" w:rsidRPr="00340C4D">
              <w:rPr>
                <w:rFonts w:cs="Times New Roman"/>
                <w:szCs w:val="24"/>
              </w:rPr>
              <w:t>elective, n=</w:t>
            </w:r>
            <w:r w:rsidR="003B11CA" w:rsidRPr="00340C4D">
              <w:rPr>
                <w:rFonts w:cs="Times New Roman"/>
                <w:szCs w:val="24"/>
              </w:rPr>
              <w:t>2827</w:t>
            </w:r>
            <w:r w:rsidR="00B63B03" w:rsidRPr="00340C4D">
              <w:rPr>
                <w:rFonts w:cs="Times New Roman"/>
                <w:szCs w:val="24"/>
              </w:rPr>
              <w:t>, nonelective, n=1622</w:t>
            </w:r>
          </w:p>
        </w:tc>
        <w:tc>
          <w:tcPr>
            <w:tcW w:w="3165" w:type="dxa"/>
          </w:tcPr>
          <w:p w14:paraId="17B65B75" w14:textId="77777777" w:rsidR="007B2888" w:rsidRPr="00340C4D" w:rsidRDefault="007B2888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The population of 160 first-year students was randomly divided into two classes.</w:t>
            </w:r>
          </w:p>
          <w:p w14:paraId="7E001F97" w14:textId="77777777" w:rsidR="00D46B95" w:rsidRPr="00340C4D" w:rsidRDefault="00D46B95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Class 1 (N=79) and Class 2 (N=81). </w:t>
            </w:r>
          </w:p>
          <w:p w14:paraId="5338CD0A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szCs w:val="24"/>
              </w:rPr>
            </w:pPr>
          </w:p>
        </w:tc>
      </w:tr>
      <w:tr w:rsidR="00074D72" w:rsidRPr="00340C4D" w14:paraId="6A50DF74" w14:textId="77777777" w:rsidTr="005E12A4">
        <w:trPr>
          <w:trHeight w:val="465"/>
        </w:trPr>
        <w:tc>
          <w:tcPr>
            <w:tcW w:w="2065" w:type="dxa"/>
            <w:shd w:val="clear" w:color="auto" w:fill="auto"/>
          </w:tcPr>
          <w:p w14:paraId="4A3280FE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 xml:space="preserve">Sampling Method </w:t>
            </w:r>
          </w:p>
        </w:tc>
        <w:tc>
          <w:tcPr>
            <w:tcW w:w="3164" w:type="dxa"/>
          </w:tcPr>
          <w:p w14:paraId="0E8B61B9" w14:textId="2D97F5D4" w:rsidR="00074D72" w:rsidRPr="00340C4D" w:rsidRDefault="00753FCF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researchers utilized </w:t>
            </w:r>
            <w:r w:rsidR="00DA7679" w:rsidRPr="00340C4D">
              <w:rPr>
                <w:rFonts w:cs="Times New Roman"/>
                <w:szCs w:val="24"/>
              </w:rPr>
              <w:t xml:space="preserve">convenience </w:t>
            </w:r>
            <w:r w:rsidR="00A7486A" w:rsidRPr="00340C4D">
              <w:rPr>
                <w:rFonts w:cs="Times New Roman"/>
                <w:szCs w:val="24"/>
              </w:rPr>
              <w:t xml:space="preserve">sampling </w:t>
            </w:r>
            <w:r w:rsidR="00AA0820" w:rsidRPr="00340C4D">
              <w:rPr>
                <w:rFonts w:cs="Times New Roman"/>
                <w:szCs w:val="24"/>
              </w:rPr>
              <w:t xml:space="preserve">that informed the selection of </w:t>
            </w:r>
            <w:r w:rsidR="00071F4B" w:rsidRPr="00340C4D">
              <w:rPr>
                <w:rFonts w:cs="Times New Roman"/>
                <w:szCs w:val="24"/>
              </w:rPr>
              <w:t xml:space="preserve">the </w:t>
            </w:r>
            <w:r w:rsidR="00AA4FD8">
              <w:rPr>
                <w:rFonts w:cs="Times New Roman"/>
                <w:szCs w:val="24"/>
              </w:rPr>
              <w:t xml:space="preserve">intake appointments and treatment appointments from a specialized institution for addiction care in the north of Netherlands. </w:t>
            </w:r>
          </w:p>
        </w:tc>
        <w:tc>
          <w:tcPr>
            <w:tcW w:w="3165" w:type="dxa"/>
          </w:tcPr>
          <w:p w14:paraId="1430BAB2" w14:textId="13AA42A9" w:rsidR="00074D72" w:rsidRPr="00340C4D" w:rsidRDefault="00B63B03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authors utilized purposive sampling method where all the </w:t>
            </w:r>
            <w:r w:rsidR="00F936BF" w:rsidRPr="00340C4D">
              <w:rPr>
                <w:rFonts w:cs="Times New Roman"/>
                <w:szCs w:val="24"/>
              </w:rPr>
              <w:t xml:space="preserve">OAAA repairs </w:t>
            </w:r>
            <w:r w:rsidR="00905082">
              <w:rPr>
                <w:rFonts w:cs="Times New Roman"/>
                <w:szCs w:val="24"/>
              </w:rPr>
              <w:t xml:space="preserve">data </w:t>
            </w:r>
            <w:bookmarkStart w:id="0" w:name="_GoBack"/>
            <w:bookmarkEnd w:id="0"/>
            <w:r w:rsidR="00F936BF" w:rsidRPr="00340C4D">
              <w:rPr>
                <w:rFonts w:cs="Times New Roman"/>
                <w:szCs w:val="24"/>
              </w:rPr>
              <w:t>completed from 2012 to 2014 was included in the research study.</w:t>
            </w:r>
          </w:p>
        </w:tc>
        <w:tc>
          <w:tcPr>
            <w:tcW w:w="3165" w:type="dxa"/>
          </w:tcPr>
          <w:p w14:paraId="2C76F2E4" w14:textId="6F707C8F" w:rsidR="00074D72" w:rsidRPr="00340C4D" w:rsidRDefault="00D46B95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The authors utilized a randomized sampling technique to assign the 160 first-year students either to control group or project group.</w:t>
            </w:r>
          </w:p>
        </w:tc>
      </w:tr>
      <w:tr w:rsidR="00C13A25" w:rsidRPr="00340C4D" w14:paraId="0E766B30" w14:textId="77777777" w:rsidTr="005E12A4">
        <w:trPr>
          <w:trHeight w:val="465"/>
        </w:trPr>
        <w:tc>
          <w:tcPr>
            <w:tcW w:w="2065" w:type="dxa"/>
            <w:shd w:val="clear" w:color="auto" w:fill="auto"/>
          </w:tcPr>
          <w:p w14:paraId="0150E949" w14:textId="6CDC1B16" w:rsidR="00C13A25" w:rsidRPr="00340C4D" w:rsidRDefault="00C13A25" w:rsidP="00340C4D">
            <w:pPr>
              <w:keepNext/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lastRenderedPageBreak/>
              <w:t xml:space="preserve">Descriptive Statistics </w:t>
            </w:r>
            <w:r w:rsidR="00E2753E" w:rsidRPr="00340C4D">
              <w:rPr>
                <w:rFonts w:cs="Times New Roman"/>
                <w:b/>
                <w:szCs w:val="24"/>
              </w:rPr>
              <w:t>(Mean, Median, Mode; Standard Deviation)</w:t>
            </w:r>
          </w:p>
          <w:p w14:paraId="37757DF9" w14:textId="181241E1" w:rsidR="00C13A25" w:rsidRPr="00340C4D" w:rsidRDefault="00C13A25" w:rsidP="00340C4D">
            <w:pPr>
              <w:keepNext/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szCs w:val="24"/>
              </w:rPr>
              <w:t>Identify examples of descriptive statistics in the article.</w:t>
            </w:r>
          </w:p>
        </w:tc>
        <w:tc>
          <w:tcPr>
            <w:tcW w:w="3164" w:type="dxa"/>
          </w:tcPr>
          <w:p w14:paraId="316E8715" w14:textId="2BBEBC54" w:rsidR="00C13A25" w:rsidRPr="00340C4D" w:rsidRDefault="007A43DA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Non-attendance was statistically significantly lower for appointments of patient who had received an SMS reminder (20.5%) than for appointments of patients who had not received a reminder (21.9%).</w:t>
            </w:r>
          </w:p>
        </w:tc>
        <w:tc>
          <w:tcPr>
            <w:tcW w:w="3165" w:type="dxa"/>
          </w:tcPr>
          <w:p w14:paraId="7841115C" w14:textId="27800111" w:rsidR="00C13A25" w:rsidRPr="00340C4D" w:rsidRDefault="00986C62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</w:t>
            </w:r>
            <w:r w:rsidR="00505D67" w:rsidRPr="00340C4D">
              <w:rPr>
                <w:rFonts w:cs="Times New Roman"/>
                <w:szCs w:val="24"/>
              </w:rPr>
              <w:t>overall FTR/in-hospital 30-day mortality rate was 9.3% (n = 414). For elective and nonelective cases, the overall FTR and 30-day mortality rates were: FTR, 1.6%, 4.9%; and 30-day in-hospital mortality, 3.4%, 17.5%, respectively. HV significantly influenced FTR/30-day in-hospital mortality (</w:t>
            </w:r>
            <w:r w:rsidR="00505D67" w:rsidRPr="00340C4D">
              <w:rPr>
                <w:rFonts w:cs="Times New Roman"/>
                <w:i/>
                <w:iCs/>
                <w:szCs w:val="24"/>
              </w:rPr>
              <w:t>P</w:t>
            </w:r>
            <w:r w:rsidR="00505D67" w:rsidRPr="00340C4D">
              <w:rPr>
                <w:rFonts w:cs="Times New Roman"/>
                <w:szCs w:val="24"/>
              </w:rPr>
              <w:t xml:space="preserve"> &lt; .0001). FTR/30-day mortality odds for hospitals with 3-year volumes of 50, 100, 150, and 200 cases were 1.4, 2.0, 2.7, </w:t>
            </w:r>
            <w:r w:rsidR="00505D67" w:rsidRPr="00340C4D">
              <w:rPr>
                <w:rFonts w:cs="Times New Roman"/>
                <w:szCs w:val="24"/>
              </w:rPr>
              <w:lastRenderedPageBreak/>
              <w:t>and 3.0 times lower, respectively, than hospitals performing ≤25 cases/3 years. The proportion of interhospital variation attributed to HV was greatest for FTR/30-day mortality (62%).</w:t>
            </w:r>
          </w:p>
        </w:tc>
        <w:tc>
          <w:tcPr>
            <w:tcW w:w="3165" w:type="dxa"/>
          </w:tcPr>
          <w:p w14:paraId="56AAE036" w14:textId="77777777" w:rsidR="00CB1747" w:rsidRPr="00340C4D" w:rsidRDefault="00CB1747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lastRenderedPageBreak/>
              <w:t>During the exercise, almost half (47%) of them detected that they should have been better prepared. A majority (85%) agreed or strongly agreed that they would be able to master bed bath with a real patient in practice after the training session</w:t>
            </w:r>
          </w:p>
          <w:p w14:paraId="7343E35D" w14:textId="77777777" w:rsidR="00C13A25" w:rsidRPr="00340C4D" w:rsidRDefault="00C13A25" w:rsidP="00340C4D">
            <w:pPr>
              <w:spacing w:after="0" w:line="480" w:lineRule="auto"/>
              <w:rPr>
                <w:rFonts w:cs="Times New Roman"/>
                <w:szCs w:val="24"/>
              </w:rPr>
            </w:pPr>
          </w:p>
        </w:tc>
      </w:tr>
      <w:tr w:rsidR="00C13A25" w:rsidRPr="00340C4D" w14:paraId="16D59F90" w14:textId="77777777" w:rsidTr="005E12A4">
        <w:trPr>
          <w:trHeight w:val="465"/>
        </w:trPr>
        <w:tc>
          <w:tcPr>
            <w:tcW w:w="2065" w:type="dxa"/>
            <w:shd w:val="clear" w:color="auto" w:fill="auto"/>
          </w:tcPr>
          <w:p w14:paraId="7E245976" w14:textId="77777777" w:rsidR="00C13A25" w:rsidRPr="00340C4D" w:rsidRDefault="00C13A25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 xml:space="preserve">Inferential Statistics </w:t>
            </w:r>
          </w:p>
          <w:p w14:paraId="315C8CF3" w14:textId="53891215" w:rsidR="00C13A25" w:rsidRPr="00340C4D" w:rsidRDefault="00C13A25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szCs w:val="24"/>
              </w:rPr>
              <w:t>Identify examples of inferential statistics in the article.</w:t>
            </w:r>
          </w:p>
        </w:tc>
        <w:tc>
          <w:tcPr>
            <w:tcW w:w="3164" w:type="dxa"/>
          </w:tcPr>
          <w:p w14:paraId="469809B6" w14:textId="5AA782CF" w:rsidR="00C13A25" w:rsidRPr="00340C4D" w:rsidRDefault="00B51BA3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authors found that in </w:t>
            </w:r>
            <w:proofErr w:type="gramStart"/>
            <w:r w:rsidRPr="00340C4D">
              <w:rPr>
                <w:rFonts w:cs="Times New Roman"/>
                <w:szCs w:val="24"/>
              </w:rPr>
              <w:t>a number of</w:t>
            </w:r>
            <w:proofErr w:type="gramEnd"/>
            <w:r w:rsidRPr="00340C4D">
              <w:rPr>
                <w:rFonts w:cs="Times New Roman"/>
                <w:szCs w:val="24"/>
              </w:rPr>
              <w:t xml:space="preserve"> intake appointments, the effects of reminder had greater impact on the attendance rates.</w:t>
            </w:r>
          </w:p>
        </w:tc>
        <w:tc>
          <w:tcPr>
            <w:tcW w:w="3165" w:type="dxa"/>
          </w:tcPr>
          <w:p w14:paraId="51B9773D" w14:textId="3CD77910" w:rsidR="00C13A25" w:rsidRPr="00340C4D" w:rsidRDefault="00EE2E99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HV significantly influenced FTR/30-day in-hospital mortality (</w:t>
            </w:r>
            <w:r w:rsidRPr="00340C4D">
              <w:rPr>
                <w:rFonts w:cs="Times New Roman"/>
                <w:i/>
                <w:iCs/>
                <w:szCs w:val="24"/>
              </w:rPr>
              <w:t>P</w:t>
            </w:r>
            <w:r w:rsidRPr="00340C4D">
              <w:rPr>
                <w:rFonts w:cs="Times New Roman"/>
                <w:szCs w:val="24"/>
              </w:rPr>
              <w:t> &lt; .0001).</w:t>
            </w:r>
          </w:p>
        </w:tc>
        <w:tc>
          <w:tcPr>
            <w:tcW w:w="3165" w:type="dxa"/>
          </w:tcPr>
          <w:p w14:paraId="53203D1F" w14:textId="5D8DD5CB" w:rsidR="00C13A25" w:rsidRPr="00340C4D" w:rsidRDefault="00A86753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Out of those who did not have any clinical experience, 78% wanted to seek more information about the procedure, while 60% of those who had clinical experience agreed/strongly agreed with </w:t>
            </w:r>
            <w:r w:rsidRPr="00340C4D">
              <w:rPr>
                <w:rFonts w:cs="Times New Roman"/>
                <w:szCs w:val="24"/>
              </w:rPr>
              <w:lastRenderedPageBreak/>
              <w:t>this statement. This difference was significant (.004).</w:t>
            </w:r>
          </w:p>
        </w:tc>
      </w:tr>
    </w:tbl>
    <w:p w14:paraId="72DDA67B" w14:textId="77777777" w:rsidR="005C5D51" w:rsidRPr="00340C4D" w:rsidRDefault="005C5D51" w:rsidP="00340C4D">
      <w:pPr>
        <w:spacing w:after="0" w:line="480" w:lineRule="auto"/>
        <w:rPr>
          <w:rFonts w:cs="Times New Roman"/>
          <w:szCs w:val="24"/>
        </w:rPr>
      </w:pPr>
    </w:p>
    <w:sectPr w:rsidR="005C5D51" w:rsidRPr="00340C4D" w:rsidSect="00CA60E7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B7DE2" w14:textId="77777777" w:rsidR="00631AE3" w:rsidRDefault="00631AE3" w:rsidP="002B6C5B">
      <w:pPr>
        <w:spacing w:after="0" w:line="240" w:lineRule="auto"/>
      </w:pPr>
      <w:r>
        <w:separator/>
      </w:r>
    </w:p>
  </w:endnote>
  <w:endnote w:type="continuationSeparator" w:id="0">
    <w:p w14:paraId="3D841C53" w14:textId="77777777" w:rsidR="00631AE3" w:rsidRDefault="00631AE3" w:rsidP="002B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264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486B4" w14:textId="0C8D0AB5" w:rsidR="00E2753E" w:rsidRDefault="00E275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2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261F45" w14:textId="77777777" w:rsidR="00E2753E" w:rsidRDefault="00E27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AAE7" w14:textId="77777777" w:rsidR="00E2753E" w:rsidRPr="00E2753E" w:rsidRDefault="00E2753E" w:rsidP="00E2753E">
    <w:pPr>
      <w:spacing w:after="200" w:line="240" w:lineRule="auto"/>
      <w:jc w:val="center"/>
      <w:rPr>
        <w:rFonts w:eastAsia="Calibri" w:cs="Times New Roman"/>
      </w:rPr>
    </w:pPr>
    <w:r w:rsidRPr="00E2753E">
      <w:rPr>
        <w:rFonts w:eastAsia="Calibri" w:cs="Times New Roman"/>
      </w:rPr>
      <w:t xml:space="preserve">© 2019. </w:t>
    </w:r>
    <w:smartTag w:uri="urn:schemas-microsoft-com:office:smarttags" w:element="place">
      <w:smartTag w:uri="urn:schemas-microsoft-com:office:smarttags" w:element="PlaceName">
        <w:r w:rsidRPr="00E2753E">
          <w:rPr>
            <w:rFonts w:eastAsia="Calibri" w:cs="Times New Roman"/>
          </w:rPr>
          <w:t>Grand Canyon</w:t>
        </w:r>
      </w:smartTag>
      <w:r w:rsidRPr="00E2753E">
        <w:rPr>
          <w:rFonts w:eastAsia="Calibri" w:cs="Times New Roman"/>
        </w:rPr>
        <w:t xml:space="preserve"> </w:t>
      </w:r>
      <w:smartTag w:uri="urn:schemas-microsoft-com:office:smarttags" w:element="PlaceType">
        <w:r w:rsidRPr="00E2753E">
          <w:rPr>
            <w:rFonts w:eastAsia="Calibri" w:cs="Times New Roman"/>
          </w:rPr>
          <w:t>University</w:t>
        </w:r>
      </w:smartTag>
    </w:smartTag>
    <w:r w:rsidRPr="00E2753E">
      <w:rPr>
        <w:rFonts w:eastAsia="Calibri" w:cs="Times New Roman"/>
      </w:rPr>
      <w:t>. All Rights Reserved.</w:t>
    </w:r>
  </w:p>
  <w:p w14:paraId="04BB2F61" w14:textId="77777777" w:rsidR="00E2753E" w:rsidRDefault="00E27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D40FB" w14:textId="77777777" w:rsidR="00631AE3" w:rsidRDefault="00631AE3" w:rsidP="002B6C5B">
      <w:pPr>
        <w:spacing w:after="0" w:line="240" w:lineRule="auto"/>
      </w:pPr>
      <w:r>
        <w:separator/>
      </w:r>
    </w:p>
  </w:footnote>
  <w:footnote w:type="continuationSeparator" w:id="0">
    <w:p w14:paraId="0D959D97" w14:textId="77777777" w:rsidR="00631AE3" w:rsidRDefault="00631AE3" w:rsidP="002B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BC09D" w14:textId="02E33952" w:rsidR="002B6C5B" w:rsidRDefault="002B6C5B" w:rsidP="002B6C5B">
    <w:pPr>
      <w:pStyle w:val="Header"/>
    </w:pPr>
  </w:p>
  <w:p w14:paraId="6D25469E" w14:textId="77777777" w:rsidR="002B6C5B" w:rsidRDefault="002B6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20DE7" w14:textId="16AA648F" w:rsidR="00E2753E" w:rsidRDefault="00E2753E">
    <w:pPr>
      <w:pStyle w:val="Header"/>
    </w:pPr>
    <w:r w:rsidRPr="00E2753E">
      <w:rPr>
        <w:rFonts w:eastAsia="Times New Roman" w:cs="Times New Roman"/>
        <w:noProof/>
        <w:szCs w:val="24"/>
      </w:rPr>
      <w:drawing>
        <wp:inline distT="0" distB="0" distL="0" distR="0" wp14:anchorId="21E07581" wp14:editId="3B088824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1MLQwtjAwNzexNDBS0lEKTi0uzszPAykwrAUA4Ns1SiwAAAA="/>
  </w:docVars>
  <w:rsids>
    <w:rsidRoot w:val="00A13624"/>
    <w:rsid w:val="00071F4B"/>
    <w:rsid w:val="00074D72"/>
    <w:rsid w:val="000B4238"/>
    <w:rsid w:val="000D190B"/>
    <w:rsid w:val="000D77AC"/>
    <w:rsid w:val="000F4762"/>
    <w:rsid w:val="00143AF5"/>
    <w:rsid w:val="00193DE7"/>
    <w:rsid w:val="001D47E3"/>
    <w:rsid w:val="00270863"/>
    <w:rsid w:val="002B6C5B"/>
    <w:rsid w:val="002D68AF"/>
    <w:rsid w:val="002E5216"/>
    <w:rsid w:val="00312212"/>
    <w:rsid w:val="00340C4D"/>
    <w:rsid w:val="00386993"/>
    <w:rsid w:val="003B11CA"/>
    <w:rsid w:val="00482DA1"/>
    <w:rsid w:val="004D67FA"/>
    <w:rsid w:val="00505D67"/>
    <w:rsid w:val="0053187E"/>
    <w:rsid w:val="00583E0E"/>
    <w:rsid w:val="005B00EB"/>
    <w:rsid w:val="005C5D51"/>
    <w:rsid w:val="006136FF"/>
    <w:rsid w:val="00631AE3"/>
    <w:rsid w:val="006677A7"/>
    <w:rsid w:val="00682517"/>
    <w:rsid w:val="006C47EE"/>
    <w:rsid w:val="00753FCF"/>
    <w:rsid w:val="00796FA8"/>
    <w:rsid w:val="007A43DA"/>
    <w:rsid w:val="007B2888"/>
    <w:rsid w:val="007B5B0F"/>
    <w:rsid w:val="007B7B14"/>
    <w:rsid w:val="00851564"/>
    <w:rsid w:val="00860EE1"/>
    <w:rsid w:val="008C754D"/>
    <w:rsid w:val="008F2732"/>
    <w:rsid w:val="00905082"/>
    <w:rsid w:val="0093570F"/>
    <w:rsid w:val="00960230"/>
    <w:rsid w:val="00982ED5"/>
    <w:rsid w:val="00986C62"/>
    <w:rsid w:val="009E1DE1"/>
    <w:rsid w:val="00A06D3A"/>
    <w:rsid w:val="00A13624"/>
    <w:rsid w:val="00A5241B"/>
    <w:rsid w:val="00A7486A"/>
    <w:rsid w:val="00A86753"/>
    <w:rsid w:val="00A91FAD"/>
    <w:rsid w:val="00AA0820"/>
    <w:rsid w:val="00AA4FD8"/>
    <w:rsid w:val="00AC3636"/>
    <w:rsid w:val="00AF7F87"/>
    <w:rsid w:val="00B51BA3"/>
    <w:rsid w:val="00B63B03"/>
    <w:rsid w:val="00C04051"/>
    <w:rsid w:val="00C13A25"/>
    <w:rsid w:val="00C204A9"/>
    <w:rsid w:val="00C77FE3"/>
    <w:rsid w:val="00C93C40"/>
    <w:rsid w:val="00CA0CD7"/>
    <w:rsid w:val="00CA60E7"/>
    <w:rsid w:val="00CB1747"/>
    <w:rsid w:val="00D46B95"/>
    <w:rsid w:val="00D67B3C"/>
    <w:rsid w:val="00D7778E"/>
    <w:rsid w:val="00D833F4"/>
    <w:rsid w:val="00DA7679"/>
    <w:rsid w:val="00DD03EB"/>
    <w:rsid w:val="00E2753E"/>
    <w:rsid w:val="00E5364A"/>
    <w:rsid w:val="00E61FB4"/>
    <w:rsid w:val="00E62E3E"/>
    <w:rsid w:val="00E94A95"/>
    <w:rsid w:val="00EC0E73"/>
    <w:rsid w:val="00EE2E99"/>
    <w:rsid w:val="00EF08DD"/>
    <w:rsid w:val="00F46AFD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6B3E76"/>
  <w15:chartTrackingRefBased/>
  <w15:docId w15:val="{C0892B48-7559-47DF-9E9F-FBC2D0C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53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C5B"/>
  </w:style>
  <w:style w:type="paragraph" w:styleId="Footer">
    <w:name w:val="footer"/>
    <w:basedOn w:val="Normal"/>
    <w:link w:val="FooterChar"/>
    <w:uiPriority w:val="99"/>
    <w:unhideWhenUsed/>
    <w:rsid w:val="002B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C5B"/>
  </w:style>
  <w:style w:type="paragraph" w:styleId="BalloonText">
    <w:name w:val="Balloon Text"/>
    <w:basedOn w:val="Normal"/>
    <w:link w:val="BalloonTextChar"/>
    <w:uiPriority w:val="99"/>
    <w:semiHidden/>
    <w:unhideWhenUsed/>
    <w:rsid w:val="00E6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2E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3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A25"/>
    <w:pPr>
      <w:spacing w:after="20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A25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F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FD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6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indawi.com/journals/nrp/2018/8984028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016/j.jvs.2019.06.194" TargetMode="External"/><Relationship Id="rId4" Type="http://schemas.openxmlformats.org/officeDocument/2006/relationships/styles" Target="styles.xml"/><Relationship Id="rId9" Type="http://schemas.openxmlformats.org/officeDocument/2006/relationships/hyperlink" Target="http://dx.doi.org/10.1080/10826084.2019.1650774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F939A-3D08-4EA1-9BDE-16B05F6288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71E1CD-2F3C-4C4C-842F-E1A56F715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397CC-4FC0-4F47-95C5-2EBB08308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Gonzales (GCE)</dc:creator>
  <cp:keywords/>
  <dc:description/>
  <cp:lastModifiedBy>office</cp:lastModifiedBy>
  <cp:revision>25</cp:revision>
  <dcterms:created xsi:type="dcterms:W3CDTF">2023-04-07T06:09:00Z</dcterms:created>
  <dcterms:modified xsi:type="dcterms:W3CDTF">2023-04-09T08:21:00Z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0x010100911D7BF13958C64483E7E107A08507EA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ubject">
    <vt:lpwstr/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  <property fmtid="{D5CDD505-2E9C-101B-9397-08002B2CF9AE}" pid="11" name="Order">
    <vt:r8>537800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