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545" w:rsidRPr="0066360A" w:rsidRDefault="0066360A" w:rsidP="00D84545">
      <w:pPr>
        <w:jc w:val="center"/>
        <w:rPr>
          <w:rFonts w:ascii="Times New Roman" w:hAnsi="Times New Roman" w:cs="Times New Roman"/>
          <w:b/>
          <w:sz w:val="24"/>
          <w:szCs w:val="24"/>
        </w:rPr>
      </w:pPr>
      <w:r w:rsidRPr="0066360A">
        <w:rPr>
          <w:rFonts w:ascii="Times New Roman" w:hAnsi="Times New Roman" w:cs="Times New Roman"/>
          <w:b/>
          <w:sz w:val="24"/>
          <w:szCs w:val="24"/>
        </w:rPr>
        <w:t>Week 14 Discussion: APRN Political Action State Initiative</w:t>
      </w:r>
    </w:p>
    <w:p w:rsidR="00A67188" w:rsidRPr="00D84545" w:rsidRDefault="00B02734">
      <w:pPr>
        <w:rPr>
          <w:rFonts w:ascii="Times New Roman" w:hAnsi="Times New Roman" w:cs="Times New Roman"/>
          <w:sz w:val="24"/>
          <w:szCs w:val="24"/>
        </w:rPr>
      </w:pPr>
      <w:r w:rsidRPr="00D84545">
        <w:rPr>
          <w:rFonts w:ascii="Times New Roman" w:hAnsi="Times New Roman" w:cs="Times New Roman"/>
          <w:sz w:val="24"/>
          <w:szCs w:val="24"/>
        </w:rPr>
        <w:tab/>
        <w:t xml:space="preserve">The MCNP Political Action Committee (MCNP PAC) has been advancing the legislative agenda of the organization and influencing legislation relevant to access, cost, and quality of care, NP scope of practice, and educational requirements for nurses. </w:t>
      </w:r>
      <w:r w:rsidR="00D65182" w:rsidRPr="00D84545">
        <w:rPr>
          <w:rFonts w:ascii="Times New Roman" w:hAnsi="Times New Roman" w:cs="Times New Roman"/>
          <w:sz w:val="24"/>
          <w:szCs w:val="24"/>
        </w:rPr>
        <w:t xml:space="preserve">A recent action involves its advocacy for H.1539 An Act Relative to Determining Capacity and Invoking the Health Care proxy. </w:t>
      </w:r>
      <w:r w:rsidR="00EE7308" w:rsidRPr="00D84545">
        <w:rPr>
          <w:rFonts w:ascii="Times New Roman" w:hAnsi="Times New Roman" w:cs="Times New Roman"/>
          <w:sz w:val="24"/>
          <w:szCs w:val="24"/>
        </w:rPr>
        <w:t xml:space="preserve">The </w:t>
      </w:r>
      <w:r w:rsidR="00A90597" w:rsidRPr="00D84545">
        <w:rPr>
          <w:rFonts w:ascii="Times New Roman" w:hAnsi="Times New Roman" w:cs="Times New Roman"/>
          <w:sz w:val="24"/>
          <w:szCs w:val="24"/>
        </w:rPr>
        <w:t>legislation aims at giving NPs the legal authority in determining capacity pertaining to medical decision-making and the ability to invoke</w:t>
      </w:r>
      <w:r w:rsidR="00AB7197" w:rsidRPr="00D84545">
        <w:rPr>
          <w:rFonts w:ascii="Times New Roman" w:hAnsi="Times New Roman" w:cs="Times New Roman"/>
          <w:sz w:val="24"/>
          <w:szCs w:val="24"/>
        </w:rPr>
        <w:t xml:space="preserve"> the health care proxy for patients lacking such capacity. The issue has a significant impact on NPs scope of practice. </w:t>
      </w:r>
      <w:r w:rsidR="00DA42D2" w:rsidRPr="00D84545">
        <w:rPr>
          <w:rFonts w:ascii="Times New Roman" w:hAnsi="Times New Roman" w:cs="Times New Roman"/>
          <w:sz w:val="24"/>
          <w:szCs w:val="24"/>
        </w:rPr>
        <w:t>C</w:t>
      </w:r>
      <w:r w:rsidR="005D7C93" w:rsidRPr="00D84545">
        <w:rPr>
          <w:rFonts w:ascii="Times New Roman" w:hAnsi="Times New Roman" w:cs="Times New Roman"/>
          <w:sz w:val="24"/>
          <w:szCs w:val="24"/>
        </w:rPr>
        <w:t xml:space="preserve">linicians </w:t>
      </w:r>
      <w:r w:rsidR="00DA42D2" w:rsidRPr="00D84545">
        <w:rPr>
          <w:rFonts w:ascii="Times New Roman" w:hAnsi="Times New Roman" w:cs="Times New Roman"/>
          <w:sz w:val="24"/>
          <w:szCs w:val="24"/>
        </w:rPr>
        <w:t xml:space="preserve">are usually called upon to </w:t>
      </w:r>
      <w:r w:rsidR="005D7C93" w:rsidRPr="00D84545">
        <w:rPr>
          <w:rFonts w:ascii="Times New Roman" w:hAnsi="Times New Roman" w:cs="Times New Roman"/>
          <w:sz w:val="24"/>
          <w:szCs w:val="24"/>
        </w:rPr>
        <w:t xml:space="preserve">assess patients’ capacity and allow patients to appoint </w:t>
      </w:r>
      <w:r w:rsidR="00DE5E96" w:rsidRPr="00D84545">
        <w:rPr>
          <w:rFonts w:ascii="Times New Roman" w:hAnsi="Times New Roman" w:cs="Times New Roman"/>
          <w:sz w:val="24"/>
          <w:szCs w:val="24"/>
        </w:rPr>
        <w:t>an agent or proxy</w:t>
      </w:r>
      <w:bookmarkStart w:id="0" w:name="_GoBack"/>
      <w:bookmarkEnd w:id="0"/>
      <w:r w:rsidR="00DA42D2" w:rsidRPr="00D84545">
        <w:rPr>
          <w:rFonts w:ascii="Times New Roman" w:hAnsi="Times New Roman" w:cs="Times New Roman"/>
          <w:sz w:val="24"/>
          <w:szCs w:val="24"/>
        </w:rPr>
        <w:t>. However</w:t>
      </w:r>
      <w:r w:rsidR="00DE5E96" w:rsidRPr="00D84545">
        <w:rPr>
          <w:rFonts w:ascii="Times New Roman" w:hAnsi="Times New Roman" w:cs="Times New Roman"/>
          <w:sz w:val="24"/>
          <w:szCs w:val="24"/>
        </w:rPr>
        <w:t>, t</w:t>
      </w:r>
      <w:r w:rsidR="00866713" w:rsidRPr="00D84545">
        <w:rPr>
          <w:rFonts w:ascii="Times New Roman" w:hAnsi="Times New Roman" w:cs="Times New Roman"/>
          <w:sz w:val="24"/>
          <w:szCs w:val="24"/>
        </w:rPr>
        <w:t xml:space="preserve">he existing capacity statute in MA exposes patients to suffering when NPs cannot determine capacity and invoke proxy if patients lack the decision-making capacity. </w:t>
      </w:r>
      <w:r w:rsidR="00903FC0" w:rsidRPr="00D84545">
        <w:rPr>
          <w:rFonts w:ascii="Times New Roman" w:hAnsi="Times New Roman" w:cs="Times New Roman"/>
          <w:sz w:val="24"/>
          <w:szCs w:val="24"/>
        </w:rPr>
        <w:t>Indeed, decision-making depends on individuals selected by patients through a Deputy appointed by the court or a Lasting Power of Attorney (</w:t>
      </w:r>
      <w:r w:rsidR="00413549" w:rsidRPr="00D84545">
        <w:rPr>
          <w:rFonts w:ascii="Times New Roman" w:hAnsi="Times New Roman" w:cs="Times New Roman"/>
          <w:sz w:val="24"/>
          <w:szCs w:val="24"/>
        </w:rPr>
        <w:t>Wade &amp; Kitzinger, 2019</w:t>
      </w:r>
      <w:r w:rsidR="00903FC0" w:rsidRPr="00D84545">
        <w:rPr>
          <w:rFonts w:ascii="Times New Roman" w:hAnsi="Times New Roman" w:cs="Times New Roman"/>
          <w:sz w:val="24"/>
          <w:szCs w:val="24"/>
        </w:rPr>
        <w:t xml:space="preserve">). </w:t>
      </w:r>
      <w:r w:rsidR="00F9748E" w:rsidRPr="00D84545">
        <w:rPr>
          <w:rFonts w:ascii="Times New Roman" w:hAnsi="Times New Roman" w:cs="Times New Roman"/>
          <w:sz w:val="24"/>
          <w:szCs w:val="24"/>
        </w:rPr>
        <w:t>Consequently, this leads to delays in timely health care decisions and challenges in making care decisions.</w:t>
      </w:r>
    </w:p>
    <w:p w:rsidR="009F06A5" w:rsidRPr="00D84545" w:rsidRDefault="00F9748E">
      <w:pPr>
        <w:rPr>
          <w:rFonts w:ascii="Times New Roman" w:hAnsi="Times New Roman" w:cs="Times New Roman"/>
          <w:sz w:val="24"/>
          <w:szCs w:val="24"/>
        </w:rPr>
      </w:pPr>
      <w:r w:rsidRPr="00D84545">
        <w:rPr>
          <w:rFonts w:ascii="Times New Roman" w:hAnsi="Times New Roman" w:cs="Times New Roman"/>
          <w:sz w:val="24"/>
          <w:szCs w:val="24"/>
        </w:rPr>
        <w:tab/>
      </w:r>
      <w:r w:rsidR="008D1D42" w:rsidRPr="00D84545">
        <w:rPr>
          <w:rFonts w:ascii="Times New Roman" w:hAnsi="Times New Roman" w:cs="Times New Roman"/>
          <w:sz w:val="24"/>
          <w:szCs w:val="24"/>
        </w:rPr>
        <w:t xml:space="preserve">The political movement can benefit significantly from the involvement of all NPs across the state. </w:t>
      </w:r>
      <w:r w:rsidR="00184F2B" w:rsidRPr="00D84545">
        <w:rPr>
          <w:rFonts w:ascii="Times New Roman" w:hAnsi="Times New Roman" w:cs="Times New Roman"/>
          <w:sz w:val="24"/>
          <w:szCs w:val="24"/>
        </w:rPr>
        <w:t>My involvement could i</w:t>
      </w:r>
      <w:r w:rsidR="0041401E" w:rsidRPr="00D84545">
        <w:rPr>
          <w:rFonts w:ascii="Times New Roman" w:hAnsi="Times New Roman" w:cs="Times New Roman"/>
          <w:sz w:val="24"/>
          <w:szCs w:val="24"/>
        </w:rPr>
        <w:t xml:space="preserve">nvolve political advocacy regarding the issue. For instance, I could write letters to my House Representative seeking their support for the initiative. </w:t>
      </w:r>
      <w:r w:rsidR="003E3B54" w:rsidRPr="00D84545">
        <w:rPr>
          <w:rFonts w:ascii="Times New Roman" w:hAnsi="Times New Roman" w:cs="Times New Roman"/>
          <w:sz w:val="24"/>
          <w:szCs w:val="24"/>
        </w:rPr>
        <w:t>In addition, I could organize grassroots support</w:t>
      </w:r>
      <w:r w:rsidR="001A65EC" w:rsidRPr="00D84545">
        <w:rPr>
          <w:rFonts w:ascii="Times New Roman" w:hAnsi="Times New Roman" w:cs="Times New Roman"/>
          <w:sz w:val="24"/>
          <w:szCs w:val="24"/>
        </w:rPr>
        <w:t xml:space="preserve"> among other health care professionals</w:t>
      </w:r>
      <w:r w:rsidR="003E3B54" w:rsidRPr="00D84545">
        <w:rPr>
          <w:rFonts w:ascii="Times New Roman" w:hAnsi="Times New Roman" w:cs="Times New Roman"/>
          <w:sz w:val="24"/>
          <w:szCs w:val="24"/>
        </w:rPr>
        <w:t xml:space="preserve"> </w:t>
      </w:r>
      <w:r w:rsidR="009F06A5" w:rsidRPr="00D84545">
        <w:rPr>
          <w:rFonts w:ascii="Times New Roman" w:hAnsi="Times New Roman" w:cs="Times New Roman"/>
          <w:sz w:val="24"/>
          <w:szCs w:val="24"/>
        </w:rPr>
        <w:t>and educating them about the importance of the legislation in expanding our scope of practice. Ultimately, gaining adequate support for the legislation would align our scope of practice with other states where an NP can manage patients independent of supervising physicians.</w:t>
      </w:r>
    </w:p>
    <w:p w:rsidR="00F9748E" w:rsidRPr="00D84545" w:rsidRDefault="009F06A5" w:rsidP="009F06A5">
      <w:pPr>
        <w:jc w:val="center"/>
        <w:rPr>
          <w:rFonts w:ascii="Times New Roman" w:hAnsi="Times New Roman" w:cs="Times New Roman"/>
          <w:b/>
          <w:sz w:val="24"/>
          <w:szCs w:val="24"/>
        </w:rPr>
      </w:pPr>
      <w:r w:rsidRPr="00D84545">
        <w:rPr>
          <w:rFonts w:ascii="Times New Roman" w:hAnsi="Times New Roman" w:cs="Times New Roman"/>
          <w:b/>
          <w:sz w:val="24"/>
          <w:szCs w:val="24"/>
        </w:rPr>
        <w:t>References</w:t>
      </w:r>
    </w:p>
    <w:p w:rsidR="00D84545" w:rsidRPr="00D84545" w:rsidRDefault="00D84545" w:rsidP="00413549">
      <w:pPr>
        <w:spacing w:after="0" w:line="240" w:lineRule="auto"/>
        <w:ind w:left="720" w:hanging="720"/>
        <w:rPr>
          <w:rFonts w:ascii="Times New Roman" w:eastAsia="Times New Roman" w:hAnsi="Times New Roman" w:cs="Times New Roman"/>
          <w:sz w:val="24"/>
          <w:szCs w:val="24"/>
        </w:rPr>
      </w:pPr>
      <w:r w:rsidRPr="00413549">
        <w:rPr>
          <w:rFonts w:ascii="Times New Roman" w:eastAsia="Times New Roman" w:hAnsi="Times New Roman" w:cs="Times New Roman"/>
          <w:sz w:val="24"/>
          <w:szCs w:val="24"/>
        </w:rPr>
        <w:t xml:space="preserve">Appel J. M. (2023). Reconsidering Capacity to Appoint a Healthcare Proxy. </w:t>
      </w:r>
      <w:r w:rsidRPr="00D84545">
        <w:rPr>
          <w:rFonts w:ascii="Times New Roman" w:eastAsia="Times New Roman" w:hAnsi="Times New Roman" w:cs="Times New Roman"/>
          <w:i/>
          <w:iCs/>
          <w:sz w:val="24"/>
          <w:szCs w:val="24"/>
        </w:rPr>
        <w:t>Cambridge Quarterly of H</w:t>
      </w:r>
      <w:r w:rsidRPr="00413549">
        <w:rPr>
          <w:rFonts w:ascii="Times New Roman" w:eastAsia="Times New Roman" w:hAnsi="Times New Roman" w:cs="Times New Roman"/>
          <w:i/>
          <w:iCs/>
          <w:sz w:val="24"/>
          <w:szCs w:val="24"/>
        </w:rPr>
        <w:t xml:space="preserve">ealthcare </w:t>
      </w:r>
      <w:r w:rsidRPr="00D84545">
        <w:rPr>
          <w:rFonts w:ascii="Times New Roman" w:eastAsia="Times New Roman" w:hAnsi="Times New Roman" w:cs="Times New Roman"/>
          <w:i/>
          <w:iCs/>
          <w:sz w:val="24"/>
          <w:szCs w:val="24"/>
        </w:rPr>
        <w:t>Ethics: CQ</w:t>
      </w:r>
      <w:r w:rsidRPr="00413549">
        <w:rPr>
          <w:rFonts w:ascii="Times New Roman" w:eastAsia="Times New Roman" w:hAnsi="Times New Roman" w:cs="Times New Roman"/>
          <w:i/>
          <w:iCs/>
          <w:sz w:val="24"/>
          <w:szCs w:val="24"/>
        </w:rPr>
        <w:t xml:space="preserve">: </w:t>
      </w:r>
      <w:r w:rsidRPr="00D84545">
        <w:rPr>
          <w:rFonts w:ascii="Times New Roman" w:eastAsia="Times New Roman" w:hAnsi="Times New Roman" w:cs="Times New Roman"/>
          <w:i/>
          <w:iCs/>
          <w:sz w:val="24"/>
          <w:szCs w:val="24"/>
        </w:rPr>
        <w:t>The I</w:t>
      </w:r>
      <w:r w:rsidRPr="00413549">
        <w:rPr>
          <w:rFonts w:ascii="Times New Roman" w:eastAsia="Times New Roman" w:hAnsi="Times New Roman" w:cs="Times New Roman"/>
          <w:i/>
          <w:iCs/>
          <w:sz w:val="24"/>
          <w:szCs w:val="24"/>
        </w:rPr>
        <w:t xml:space="preserve">nternational </w:t>
      </w:r>
      <w:r w:rsidRPr="00D84545">
        <w:rPr>
          <w:rFonts w:ascii="Times New Roman" w:eastAsia="Times New Roman" w:hAnsi="Times New Roman" w:cs="Times New Roman"/>
          <w:i/>
          <w:iCs/>
          <w:sz w:val="24"/>
          <w:szCs w:val="24"/>
        </w:rPr>
        <w:t>Journal of Healthcare Ethics C</w:t>
      </w:r>
      <w:r w:rsidRPr="00413549">
        <w:rPr>
          <w:rFonts w:ascii="Times New Roman" w:eastAsia="Times New Roman" w:hAnsi="Times New Roman" w:cs="Times New Roman"/>
          <w:i/>
          <w:iCs/>
          <w:sz w:val="24"/>
          <w:szCs w:val="24"/>
        </w:rPr>
        <w:t>ommittees</w:t>
      </w:r>
      <w:r w:rsidRPr="00413549">
        <w:rPr>
          <w:rFonts w:ascii="Times New Roman" w:eastAsia="Times New Roman" w:hAnsi="Times New Roman" w:cs="Times New Roman"/>
          <w:sz w:val="24"/>
          <w:szCs w:val="24"/>
        </w:rPr>
        <w:t xml:space="preserve">, </w:t>
      </w:r>
      <w:r w:rsidRPr="00413549">
        <w:rPr>
          <w:rFonts w:ascii="Times New Roman" w:eastAsia="Times New Roman" w:hAnsi="Times New Roman" w:cs="Times New Roman"/>
          <w:i/>
          <w:iCs/>
          <w:sz w:val="24"/>
          <w:szCs w:val="24"/>
        </w:rPr>
        <w:t>32</w:t>
      </w:r>
      <w:r w:rsidRPr="00413549">
        <w:rPr>
          <w:rFonts w:ascii="Times New Roman" w:eastAsia="Times New Roman" w:hAnsi="Times New Roman" w:cs="Times New Roman"/>
          <w:sz w:val="24"/>
          <w:szCs w:val="24"/>
        </w:rPr>
        <w:t xml:space="preserve">(1), 69–75. </w:t>
      </w:r>
      <w:hyperlink r:id="rId4" w:history="1">
        <w:r w:rsidRPr="00D84545">
          <w:rPr>
            <w:rStyle w:val="Hyperlink"/>
            <w:rFonts w:ascii="Times New Roman" w:eastAsia="Times New Roman" w:hAnsi="Times New Roman" w:cs="Times New Roman"/>
            <w:sz w:val="24"/>
            <w:szCs w:val="24"/>
          </w:rPr>
          <w:t>https://doi.org/10.1017/S0963180122000512</w:t>
        </w:r>
      </w:hyperlink>
      <w:r w:rsidRPr="00D84545">
        <w:rPr>
          <w:rFonts w:ascii="Times New Roman" w:eastAsia="Times New Roman" w:hAnsi="Times New Roman" w:cs="Times New Roman"/>
          <w:sz w:val="24"/>
          <w:szCs w:val="24"/>
        </w:rPr>
        <w:t xml:space="preserve"> </w:t>
      </w:r>
    </w:p>
    <w:p w:rsidR="00D84545" w:rsidRPr="00D84545" w:rsidRDefault="00D84545" w:rsidP="00413549">
      <w:pPr>
        <w:spacing w:after="0" w:line="240" w:lineRule="auto"/>
        <w:ind w:left="720" w:hanging="720"/>
        <w:rPr>
          <w:rFonts w:ascii="Times New Roman" w:eastAsia="Times New Roman" w:hAnsi="Times New Roman" w:cs="Times New Roman"/>
          <w:sz w:val="24"/>
          <w:szCs w:val="24"/>
        </w:rPr>
      </w:pPr>
      <w:r w:rsidRPr="00413549">
        <w:rPr>
          <w:rFonts w:ascii="Times New Roman" w:eastAsia="Times New Roman" w:hAnsi="Times New Roman" w:cs="Times New Roman"/>
          <w:sz w:val="24"/>
          <w:szCs w:val="24"/>
        </w:rPr>
        <w:t xml:space="preserve">Wade, D. T., &amp; Kitzinger, C. (2019). Making healthcare decisions in a person's best interests when they lack capacity: clinical guidance based on a review of evidence. </w:t>
      </w:r>
      <w:r w:rsidRPr="00D84545">
        <w:rPr>
          <w:rFonts w:ascii="Times New Roman" w:eastAsia="Times New Roman" w:hAnsi="Times New Roman" w:cs="Times New Roman"/>
          <w:i/>
          <w:iCs/>
          <w:sz w:val="24"/>
          <w:szCs w:val="24"/>
        </w:rPr>
        <w:t>Clinical R</w:t>
      </w:r>
      <w:r w:rsidRPr="00413549">
        <w:rPr>
          <w:rFonts w:ascii="Times New Roman" w:eastAsia="Times New Roman" w:hAnsi="Times New Roman" w:cs="Times New Roman"/>
          <w:i/>
          <w:iCs/>
          <w:sz w:val="24"/>
          <w:szCs w:val="24"/>
        </w:rPr>
        <w:t>ehabilitation</w:t>
      </w:r>
      <w:r w:rsidRPr="00413549">
        <w:rPr>
          <w:rFonts w:ascii="Times New Roman" w:eastAsia="Times New Roman" w:hAnsi="Times New Roman" w:cs="Times New Roman"/>
          <w:sz w:val="24"/>
          <w:szCs w:val="24"/>
        </w:rPr>
        <w:t xml:space="preserve">, </w:t>
      </w:r>
      <w:r w:rsidRPr="00413549">
        <w:rPr>
          <w:rFonts w:ascii="Times New Roman" w:eastAsia="Times New Roman" w:hAnsi="Times New Roman" w:cs="Times New Roman"/>
          <w:i/>
          <w:iCs/>
          <w:sz w:val="24"/>
          <w:szCs w:val="24"/>
        </w:rPr>
        <w:t>33</w:t>
      </w:r>
      <w:r w:rsidRPr="00413549">
        <w:rPr>
          <w:rFonts w:ascii="Times New Roman" w:eastAsia="Times New Roman" w:hAnsi="Times New Roman" w:cs="Times New Roman"/>
          <w:sz w:val="24"/>
          <w:szCs w:val="24"/>
        </w:rPr>
        <w:t xml:space="preserve">(10), 1571–1585. </w:t>
      </w:r>
      <w:hyperlink r:id="rId5" w:history="1">
        <w:r w:rsidRPr="00D84545">
          <w:rPr>
            <w:rStyle w:val="Hyperlink"/>
            <w:rFonts w:ascii="Times New Roman" w:eastAsia="Times New Roman" w:hAnsi="Times New Roman" w:cs="Times New Roman"/>
            <w:sz w:val="24"/>
            <w:szCs w:val="24"/>
          </w:rPr>
          <w:t>https://doi.org/10.1177/0269215519852987</w:t>
        </w:r>
      </w:hyperlink>
      <w:r w:rsidRPr="00D84545">
        <w:rPr>
          <w:rFonts w:ascii="Times New Roman" w:eastAsia="Times New Roman" w:hAnsi="Times New Roman" w:cs="Times New Roman"/>
          <w:sz w:val="24"/>
          <w:szCs w:val="24"/>
        </w:rPr>
        <w:t xml:space="preserve"> </w:t>
      </w:r>
    </w:p>
    <w:sectPr w:rsidR="00D84545" w:rsidRPr="00D845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34"/>
    <w:rsid w:val="00184F2B"/>
    <w:rsid w:val="001A65EC"/>
    <w:rsid w:val="00271CD1"/>
    <w:rsid w:val="003E3B54"/>
    <w:rsid w:val="00413549"/>
    <w:rsid w:val="0041401E"/>
    <w:rsid w:val="005D7C93"/>
    <w:rsid w:val="0066360A"/>
    <w:rsid w:val="00866713"/>
    <w:rsid w:val="008D1D42"/>
    <w:rsid w:val="00903FC0"/>
    <w:rsid w:val="009F06A5"/>
    <w:rsid w:val="00A134EF"/>
    <w:rsid w:val="00A67188"/>
    <w:rsid w:val="00A90597"/>
    <w:rsid w:val="00AB7197"/>
    <w:rsid w:val="00B02734"/>
    <w:rsid w:val="00C44E86"/>
    <w:rsid w:val="00D65182"/>
    <w:rsid w:val="00D84545"/>
    <w:rsid w:val="00DA42D2"/>
    <w:rsid w:val="00DE0836"/>
    <w:rsid w:val="00DE5E96"/>
    <w:rsid w:val="00E4166E"/>
    <w:rsid w:val="00EE7308"/>
    <w:rsid w:val="00F95D16"/>
    <w:rsid w:val="00F9748E"/>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281E9-DEE6-461E-95CF-57B03E26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F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248768">
      <w:bodyDiv w:val="1"/>
      <w:marLeft w:val="0"/>
      <w:marRight w:val="0"/>
      <w:marTop w:val="0"/>
      <w:marBottom w:val="0"/>
      <w:divBdr>
        <w:top w:val="none" w:sz="0" w:space="0" w:color="auto"/>
        <w:left w:val="none" w:sz="0" w:space="0" w:color="auto"/>
        <w:bottom w:val="none" w:sz="0" w:space="0" w:color="auto"/>
        <w:right w:val="none" w:sz="0" w:space="0" w:color="auto"/>
      </w:divBdr>
      <w:divsChild>
        <w:div w:id="1130241992">
          <w:marLeft w:val="0"/>
          <w:marRight w:val="0"/>
          <w:marTop w:val="0"/>
          <w:marBottom w:val="0"/>
          <w:divBdr>
            <w:top w:val="none" w:sz="0" w:space="0" w:color="auto"/>
            <w:left w:val="none" w:sz="0" w:space="0" w:color="auto"/>
            <w:bottom w:val="none" w:sz="0" w:space="0" w:color="auto"/>
            <w:right w:val="none" w:sz="0" w:space="0" w:color="auto"/>
          </w:divBdr>
        </w:div>
      </w:divsChild>
    </w:div>
    <w:div w:id="1714846086">
      <w:bodyDiv w:val="1"/>
      <w:marLeft w:val="0"/>
      <w:marRight w:val="0"/>
      <w:marTop w:val="0"/>
      <w:marBottom w:val="0"/>
      <w:divBdr>
        <w:top w:val="none" w:sz="0" w:space="0" w:color="auto"/>
        <w:left w:val="none" w:sz="0" w:space="0" w:color="auto"/>
        <w:bottom w:val="none" w:sz="0" w:space="0" w:color="auto"/>
        <w:right w:val="none" w:sz="0" w:space="0" w:color="auto"/>
      </w:divBdr>
      <w:divsChild>
        <w:div w:id="593782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77/0269215519852987" TargetMode="External"/><Relationship Id="rId4" Type="http://schemas.openxmlformats.org/officeDocument/2006/relationships/hyperlink" Target="https://doi.org/10.1017/S0963180122000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2023-08-01T18:03:00Z</dcterms:created>
  <dcterms:modified xsi:type="dcterms:W3CDTF">2023-08-03T20:07:00Z</dcterms:modified>
</cp:coreProperties>
</file>