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188" w:rsidRPr="00B63B59" w:rsidRDefault="00116B3F" w:rsidP="00B63B59">
      <w:pPr>
        <w:spacing w:after="100"/>
        <w:rPr>
          <w:rFonts w:ascii="Times New Roman" w:hAnsi="Times New Roman" w:cs="Times New Roman"/>
          <w:b/>
          <w:sz w:val="24"/>
          <w:szCs w:val="24"/>
        </w:rPr>
      </w:pPr>
      <w:r w:rsidRPr="00B63B59">
        <w:rPr>
          <w:rFonts w:ascii="Times New Roman" w:hAnsi="Times New Roman" w:cs="Times New Roman"/>
          <w:b/>
          <w:sz w:val="24"/>
          <w:szCs w:val="24"/>
        </w:rPr>
        <w:t>Response to Kelly Bates</w:t>
      </w:r>
    </w:p>
    <w:p w:rsidR="00116B3F" w:rsidRPr="00B63B59" w:rsidRDefault="00116B3F" w:rsidP="00B63B59">
      <w:pPr>
        <w:spacing w:after="100"/>
        <w:rPr>
          <w:rFonts w:ascii="Times New Roman" w:hAnsi="Times New Roman" w:cs="Times New Roman"/>
          <w:sz w:val="24"/>
          <w:szCs w:val="24"/>
        </w:rPr>
      </w:pPr>
      <w:r w:rsidRPr="00B63B59">
        <w:rPr>
          <w:rFonts w:ascii="Times New Roman" w:hAnsi="Times New Roman" w:cs="Times New Roman"/>
          <w:sz w:val="24"/>
          <w:szCs w:val="24"/>
        </w:rPr>
        <w:t xml:space="preserve">Thank you for your insightful </w:t>
      </w:r>
      <w:r w:rsidR="000149C0" w:rsidRPr="00B63B59">
        <w:rPr>
          <w:rFonts w:ascii="Times New Roman" w:hAnsi="Times New Roman" w:cs="Times New Roman"/>
          <w:sz w:val="24"/>
          <w:szCs w:val="24"/>
        </w:rPr>
        <w:t xml:space="preserve">post. I also reside in Massachusetts and can relate to the </w:t>
      </w:r>
      <w:r w:rsidR="004708D7" w:rsidRPr="00B63B59">
        <w:rPr>
          <w:rFonts w:ascii="Times New Roman" w:hAnsi="Times New Roman" w:cs="Times New Roman"/>
          <w:sz w:val="24"/>
          <w:szCs w:val="24"/>
        </w:rPr>
        <w:t>legislative agenda by the MCNP PAC</w:t>
      </w:r>
      <w:r w:rsidR="00A6295D" w:rsidRPr="00B63B59">
        <w:rPr>
          <w:rFonts w:ascii="Times New Roman" w:hAnsi="Times New Roman" w:cs="Times New Roman"/>
          <w:sz w:val="24"/>
          <w:szCs w:val="24"/>
        </w:rPr>
        <w:t>, namely H.1539</w:t>
      </w:r>
      <w:r w:rsidR="004708D7" w:rsidRPr="00B63B59">
        <w:rPr>
          <w:rFonts w:ascii="Times New Roman" w:hAnsi="Times New Roman" w:cs="Times New Roman"/>
          <w:sz w:val="24"/>
          <w:szCs w:val="24"/>
        </w:rPr>
        <w:t xml:space="preserve">. </w:t>
      </w:r>
      <w:r w:rsidR="00AC49F9" w:rsidRPr="00B63B59">
        <w:rPr>
          <w:rFonts w:ascii="Times New Roman" w:hAnsi="Times New Roman" w:cs="Times New Roman"/>
          <w:sz w:val="24"/>
          <w:szCs w:val="24"/>
        </w:rPr>
        <w:t>Advocacy for</w:t>
      </w:r>
      <w:r w:rsidR="00A6295D" w:rsidRPr="00B63B59">
        <w:rPr>
          <w:rFonts w:ascii="Times New Roman" w:hAnsi="Times New Roman" w:cs="Times New Roman"/>
          <w:sz w:val="24"/>
          <w:szCs w:val="24"/>
        </w:rPr>
        <w:t xml:space="preserve"> the</w:t>
      </w:r>
      <w:r w:rsidR="00AC49F9" w:rsidRPr="00B63B59">
        <w:rPr>
          <w:rFonts w:ascii="Times New Roman" w:hAnsi="Times New Roman" w:cs="Times New Roman"/>
          <w:sz w:val="24"/>
          <w:szCs w:val="24"/>
        </w:rPr>
        <w:t xml:space="preserve"> legislative agenda</w:t>
      </w:r>
      <w:r w:rsidR="00A6295D" w:rsidRPr="00B63B59">
        <w:rPr>
          <w:rFonts w:ascii="Times New Roman" w:hAnsi="Times New Roman" w:cs="Times New Roman"/>
          <w:sz w:val="24"/>
          <w:szCs w:val="24"/>
        </w:rPr>
        <w:t xml:space="preserve"> is critical to addressing the current barriers to APRNs’ scope of practice in the state.</w:t>
      </w:r>
      <w:r w:rsidR="00744E99" w:rsidRPr="00B63B59">
        <w:rPr>
          <w:rFonts w:ascii="Times New Roman" w:hAnsi="Times New Roman" w:cs="Times New Roman"/>
          <w:sz w:val="24"/>
          <w:szCs w:val="24"/>
        </w:rPr>
        <w:t xml:space="preserve"> While Massachusetts has made significant progress towards full practice authority, the changes have been quite slow (</w:t>
      </w:r>
      <w:r w:rsidR="00463E52" w:rsidRPr="006E60FE">
        <w:rPr>
          <w:rFonts w:ascii="Times New Roman" w:eastAsia="Times New Roman" w:hAnsi="Times New Roman" w:cs="Times New Roman"/>
          <w:sz w:val="24"/>
          <w:szCs w:val="24"/>
        </w:rPr>
        <w:t>O'Reilly-Jacob</w:t>
      </w:r>
      <w:r w:rsidR="00463E52" w:rsidRPr="00B63B59">
        <w:rPr>
          <w:rFonts w:ascii="Times New Roman" w:eastAsia="Times New Roman" w:hAnsi="Times New Roman" w:cs="Times New Roman"/>
          <w:sz w:val="24"/>
          <w:szCs w:val="24"/>
        </w:rPr>
        <w:t xml:space="preserve"> et al., 2022</w:t>
      </w:r>
      <w:r w:rsidR="00744E99" w:rsidRPr="00B63B59">
        <w:rPr>
          <w:rFonts w:ascii="Times New Roman" w:hAnsi="Times New Roman" w:cs="Times New Roman"/>
          <w:sz w:val="24"/>
          <w:szCs w:val="24"/>
        </w:rPr>
        <w:t xml:space="preserve">). </w:t>
      </w:r>
      <w:r w:rsidR="0056753D" w:rsidRPr="00B63B59">
        <w:rPr>
          <w:rFonts w:ascii="Times New Roman" w:hAnsi="Times New Roman" w:cs="Times New Roman"/>
          <w:sz w:val="24"/>
          <w:szCs w:val="24"/>
        </w:rPr>
        <w:t>T</w:t>
      </w:r>
      <w:r w:rsidR="00BA0C05" w:rsidRPr="00B63B59">
        <w:rPr>
          <w:rFonts w:ascii="Times New Roman" w:hAnsi="Times New Roman" w:cs="Times New Roman"/>
          <w:sz w:val="24"/>
          <w:szCs w:val="24"/>
        </w:rPr>
        <w:t>he existing capacity statutes in the country limit APRNs’ scope of practice, exposing patients to unnecessary suffering when nurses have to wait for the patient or court to appoint a proxy</w:t>
      </w:r>
      <w:r w:rsidR="0056753D" w:rsidRPr="00B63B59">
        <w:rPr>
          <w:rFonts w:ascii="Times New Roman" w:hAnsi="Times New Roman" w:cs="Times New Roman"/>
          <w:sz w:val="24"/>
          <w:szCs w:val="24"/>
        </w:rPr>
        <w:t xml:space="preserve"> (Wade &amp; Kitzinger, 2019)</w:t>
      </w:r>
      <w:r w:rsidR="00BA0C05" w:rsidRPr="00B63B59">
        <w:rPr>
          <w:rFonts w:ascii="Times New Roman" w:hAnsi="Times New Roman" w:cs="Times New Roman"/>
          <w:sz w:val="24"/>
          <w:szCs w:val="24"/>
        </w:rPr>
        <w:t xml:space="preserve">. </w:t>
      </w:r>
      <w:r w:rsidR="00B66F85" w:rsidRPr="00B63B59">
        <w:rPr>
          <w:rFonts w:ascii="Times New Roman" w:hAnsi="Times New Roman" w:cs="Times New Roman"/>
          <w:sz w:val="24"/>
          <w:szCs w:val="24"/>
        </w:rPr>
        <w:t>Although I am in psychiatric-mental health nursing, I acknowledge that the problem affects other nursing specialties alike.</w:t>
      </w:r>
      <w:r w:rsidR="006B6647" w:rsidRPr="00B63B59">
        <w:rPr>
          <w:rFonts w:ascii="Times New Roman" w:hAnsi="Times New Roman" w:cs="Times New Roman"/>
          <w:sz w:val="24"/>
          <w:szCs w:val="24"/>
        </w:rPr>
        <w:t xml:space="preserve"> The crosscutting effects show the importance of all nurses in the state supporting the legislative agenda. In addition to your approach to addressing the issue, I </w:t>
      </w:r>
      <w:r w:rsidR="006E60FE" w:rsidRPr="00B63B59">
        <w:rPr>
          <w:rFonts w:ascii="Times New Roman" w:hAnsi="Times New Roman" w:cs="Times New Roman"/>
          <w:sz w:val="24"/>
          <w:szCs w:val="24"/>
        </w:rPr>
        <w:t>could write to our respective representatives beseeching their support for the agenda.</w:t>
      </w:r>
    </w:p>
    <w:p w:rsidR="006E60FE" w:rsidRPr="00B63B59" w:rsidRDefault="006E60FE" w:rsidP="00B63B59">
      <w:pPr>
        <w:spacing w:after="100"/>
        <w:jc w:val="center"/>
        <w:rPr>
          <w:rFonts w:ascii="Times New Roman" w:hAnsi="Times New Roman" w:cs="Times New Roman"/>
          <w:sz w:val="24"/>
          <w:szCs w:val="24"/>
        </w:rPr>
      </w:pPr>
      <w:r w:rsidRPr="00B63B59">
        <w:rPr>
          <w:rFonts w:ascii="Times New Roman" w:hAnsi="Times New Roman" w:cs="Times New Roman"/>
          <w:b/>
          <w:sz w:val="24"/>
          <w:szCs w:val="24"/>
        </w:rPr>
        <w:t>References</w:t>
      </w:r>
      <w:r w:rsidRPr="00B63B59">
        <w:rPr>
          <w:rFonts w:ascii="Times New Roman" w:hAnsi="Times New Roman" w:cs="Times New Roman"/>
          <w:sz w:val="24"/>
          <w:szCs w:val="24"/>
        </w:rPr>
        <w:t xml:space="preserve"> </w:t>
      </w:r>
    </w:p>
    <w:p w:rsidR="006E60FE" w:rsidRPr="00B63B59" w:rsidRDefault="006E60FE" w:rsidP="00B63B59">
      <w:pPr>
        <w:spacing w:after="100" w:line="240" w:lineRule="auto"/>
        <w:ind w:left="720" w:hanging="720"/>
        <w:rPr>
          <w:rFonts w:ascii="Times New Roman" w:eastAsia="Times New Roman" w:hAnsi="Times New Roman" w:cs="Times New Roman"/>
          <w:sz w:val="24"/>
          <w:szCs w:val="24"/>
        </w:rPr>
      </w:pPr>
      <w:r w:rsidRPr="006E60FE">
        <w:rPr>
          <w:rFonts w:ascii="Times New Roman" w:eastAsia="Times New Roman" w:hAnsi="Times New Roman" w:cs="Times New Roman"/>
          <w:sz w:val="24"/>
          <w:szCs w:val="24"/>
        </w:rPr>
        <w:t xml:space="preserve">O'Reilly-Jacob, M., </w:t>
      </w:r>
      <w:proofErr w:type="spellStart"/>
      <w:r w:rsidRPr="006E60FE">
        <w:rPr>
          <w:rFonts w:ascii="Times New Roman" w:eastAsia="Times New Roman" w:hAnsi="Times New Roman" w:cs="Times New Roman"/>
          <w:sz w:val="24"/>
          <w:szCs w:val="24"/>
        </w:rPr>
        <w:t>Perloff</w:t>
      </w:r>
      <w:proofErr w:type="spellEnd"/>
      <w:r w:rsidRPr="006E60FE">
        <w:rPr>
          <w:rFonts w:ascii="Times New Roman" w:eastAsia="Times New Roman" w:hAnsi="Times New Roman" w:cs="Times New Roman"/>
          <w:sz w:val="24"/>
          <w:szCs w:val="24"/>
        </w:rPr>
        <w:t xml:space="preserve">, J., </w:t>
      </w:r>
      <w:proofErr w:type="spellStart"/>
      <w:r w:rsidRPr="006E60FE">
        <w:rPr>
          <w:rFonts w:ascii="Times New Roman" w:eastAsia="Times New Roman" w:hAnsi="Times New Roman" w:cs="Times New Roman"/>
          <w:sz w:val="24"/>
          <w:szCs w:val="24"/>
        </w:rPr>
        <w:t>Sherafat-Kazemzadeh</w:t>
      </w:r>
      <w:proofErr w:type="spellEnd"/>
      <w:r w:rsidRPr="006E60FE">
        <w:rPr>
          <w:rFonts w:ascii="Times New Roman" w:eastAsia="Times New Roman" w:hAnsi="Times New Roman" w:cs="Times New Roman"/>
          <w:sz w:val="24"/>
          <w:szCs w:val="24"/>
        </w:rPr>
        <w:t xml:space="preserve">, R., &amp; Flanagan, J. (2022). Nurse practitioners' perception of temporary full practice authority during a COVID-19 surge: A qualitative study. </w:t>
      </w:r>
      <w:r w:rsidRPr="006E60FE">
        <w:rPr>
          <w:rFonts w:ascii="Times New Roman" w:eastAsia="Times New Roman" w:hAnsi="Times New Roman" w:cs="Times New Roman"/>
          <w:i/>
          <w:iCs/>
          <w:sz w:val="24"/>
          <w:szCs w:val="24"/>
        </w:rPr>
        <w:t>International journal of nursing studies</w:t>
      </w:r>
      <w:r w:rsidRPr="006E60FE">
        <w:rPr>
          <w:rFonts w:ascii="Times New Roman" w:eastAsia="Times New Roman" w:hAnsi="Times New Roman" w:cs="Times New Roman"/>
          <w:sz w:val="24"/>
          <w:szCs w:val="24"/>
        </w:rPr>
        <w:t xml:space="preserve">, </w:t>
      </w:r>
      <w:r w:rsidRPr="006E60FE">
        <w:rPr>
          <w:rFonts w:ascii="Times New Roman" w:eastAsia="Times New Roman" w:hAnsi="Times New Roman" w:cs="Times New Roman"/>
          <w:i/>
          <w:iCs/>
          <w:sz w:val="24"/>
          <w:szCs w:val="24"/>
        </w:rPr>
        <w:t>126</w:t>
      </w:r>
      <w:r w:rsidRPr="006E60FE">
        <w:rPr>
          <w:rFonts w:ascii="Times New Roman" w:eastAsia="Times New Roman" w:hAnsi="Times New Roman" w:cs="Times New Roman"/>
          <w:sz w:val="24"/>
          <w:szCs w:val="24"/>
        </w:rPr>
        <w:t xml:space="preserve">, 104141. </w:t>
      </w:r>
      <w:hyperlink r:id="rId4" w:history="1">
        <w:r w:rsidR="00463E52" w:rsidRPr="00B63B59">
          <w:rPr>
            <w:rStyle w:val="Hyperlink"/>
            <w:rFonts w:ascii="Times New Roman" w:eastAsia="Times New Roman" w:hAnsi="Times New Roman" w:cs="Times New Roman"/>
            <w:sz w:val="24"/>
            <w:szCs w:val="24"/>
          </w:rPr>
          <w:t>https://doi.org/10.1016/j.ijnurstu.2021.104141</w:t>
        </w:r>
      </w:hyperlink>
      <w:r w:rsidRPr="00B63B59">
        <w:rPr>
          <w:rFonts w:ascii="Times New Roman" w:eastAsia="Times New Roman" w:hAnsi="Times New Roman" w:cs="Times New Roman"/>
          <w:sz w:val="24"/>
          <w:szCs w:val="24"/>
        </w:rPr>
        <w:t xml:space="preserve"> </w:t>
      </w:r>
    </w:p>
    <w:p w:rsidR="00463E52" w:rsidRPr="00B63B59" w:rsidRDefault="00463E52" w:rsidP="00B63B59">
      <w:pPr>
        <w:spacing w:after="100" w:line="240" w:lineRule="auto"/>
        <w:ind w:left="720" w:hanging="720"/>
        <w:rPr>
          <w:rFonts w:ascii="Times New Roman" w:eastAsia="Times New Roman" w:hAnsi="Times New Roman" w:cs="Times New Roman"/>
          <w:sz w:val="24"/>
          <w:szCs w:val="24"/>
        </w:rPr>
      </w:pPr>
      <w:r w:rsidRPr="00B63B59">
        <w:rPr>
          <w:rFonts w:ascii="Times New Roman" w:eastAsia="Times New Roman" w:hAnsi="Times New Roman" w:cs="Times New Roman"/>
          <w:sz w:val="24"/>
          <w:szCs w:val="24"/>
        </w:rPr>
        <w:t xml:space="preserve">Wade, D. T., &amp; Kitzinger, C. (2019). Making healthcare decisions in a person's best interests when they lack capacity: clinical guidance based on a review of evidence. </w:t>
      </w:r>
      <w:r w:rsidRPr="00B63B59">
        <w:rPr>
          <w:rFonts w:ascii="Times New Roman" w:eastAsia="Times New Roman" w:hAnsi="Times New Roman" w:cs="Times New Roman"/>
          <w:i/>
          <w:iCs/>
          <w:sz w:val="24"/>
          <w:szCs w:val="24"/>
        </w:rPr>
        <w:t>Clinical Rehabilitation</w:t>
      </w:r>
      <w:r w:rsidRPr="00B63B59">
        <w:rPr>
          <w:rFonts w:ascii="Times New Roman" w:eastAsia="Times New Roman" w:hAnsi="Times New Roman" w:cs="Times New Roman"/>
          <w:sz w:val="24"/>
          <w:szCs w:val="24"/>
        </w:rPr>
        <w:t xml:space="preserve">, </w:t>
      </w:r>
      <w:r w:rsidRPr="00B63B59">
        <w:rPr>
          <w:rFonts w:ascii="Times New Roman" w:eastAsia="Times New Roman" w:hAnsi="Times New Roman" w:cs="Times New Roman"/>
          <w:i/>
          <w:iCs/>
          <w:sz w:val="24"/>
          <w:szCs w:val="24"/>
        </w:rPr>
        <w:t>33</w:t>
      </w:r>
      <w:r w:rsidRPr="00B63B59">
        <w:rPr>
          <w:rFonts w:ascii="Times New Roman" w:eastAsia="Times New Roman" w:hAnsi="Times New Roman" w:cs="Times New Roman"/>
          <w:sz w:val="24"/>
          <w:szCs w:val="24"/>
        </w:rPr>
        <w:t xml:space="preserve">(10), 1571–1585. </w:t>
      </w:r>
      <w:hyperlink r:id="rId5" w:history="1">
        <w:r w:rsidRPr="00B63B59">
          <w:rPr>
            <w:rStyle w:val="Hyperlink"/>
            <w:rFonts w:ascii="Times New Roman" w:eastAsia="Times New Roman" w:hAnsi="Times New Roman" w:cs="Times New Roman"/>
            <w:sz w:val="24"/>
            <w:szCs w:val="24"/>
          </w:rPr>
          <w:t>https://doi.org/10.1177/0269215519852987</w:t>
        </w:r>
      </w:hyperlink>
      <w:r w:rsidRPr="00B63B59">
        <w:rPr>
          <w:rFonts w:ascii="Times New Roman" w:eastAsia="Times New Roman" w:hAnsi="Times New Roman" w:cs="Times New Roman"/>
          <w:sz w:val="24"/>
          <w:szCs w:val="24"/>
        </w:rPr>
        <w:t xml:space="preserve"> </w:t>
      </w:r>
    </w:p>
    <w:p w:rsidR="00463E52" w:rsidRPr="00B63B59" w:rsidRDefault="00463E52" w:rsidP="00B63B59">
      <w:pPr>
        <w:spacing w:after="100"/>
        <w:rPr>
          <w:rFonts w:ascii="Times New Roman" w:eastAsia="Times New Roman" w:hAnsi="Times New Roman" w:cs="Times New Roman"/>
          <w:sz w:val="24"/>
          <w:szCs w:val="24"/>
        </w:rPr>
      </w:pPr>
      <w:r w:rsidRPr="00B63B59">
        <w:rPr>
          <w:rFonts w:ascii="Times New Roman" w:eastAsia="Times New Roman" w:hAnsi="Times New Roman" w:cs="Times New Roman"/>
          <w:sz w:val="24"/>
          <w:szCs w:val="24"/>
        </w:rPr>
        <w:br w:type="page"/>
      </w:r>
    </w:p>
    <w:p w:rsidR="00463E52" w:rsidRPr="00B63B59" w:rsidRDefault="00DE1B4A" w:rsidP="00B63B59">
      <w:pPr>
        <w:spacing w:after="100" w:line="240" w:lineRule="auto"/>
        <w:rPr>
          <w:rFonts w:ascii="Times New Roman" w:eastAsia="Times New Roman" w:hAnsi="Times New Roman" w:cs="Times New Roman"/>
          <w:b/>
          <w:sz w:val="24"/>
          <w:szCs w:val="24"/>
        </w:rPr>
      </w:pPr>
      <w:r w:rsidRPr="00B63B59">
        <w:rPr>
          <w:rFonts w:ascii="Times New Roman" w:eastAsia="Times New Roman" w:hAnsi="Times New Roman" w:cs="Times New Roman"/>
          <w:b/>
          <w:sz w:val="24"/>
          <w:szCs w:val="24"/>
        </w:rPr>
        <w:lastRenderedPageBreak/>
        <w:t xml:space="preserve">Response to </w:t>
      </w:r>
      <w:proofErr w:type="spellStart"/>
      <w:r w:rsidRPr="00B63B59">
        <w:rPr>
          <w:rFonts w:ascii="Times New Roman" w:eastAsia="Times New Roman" w:hAnsi="Times New Roman" w:cs="Times New Roman"/>
          <w:b/>
          <w:sz w:val="24"/>
          <w:szCs w:val="24"/>
        </w:rPr>
        <w:t>Shearlyn</w:t>
      </w:r>
      <w:proofErr w:type="spellEnd"/>
      <w:r w:rsidRPr="00B63B59">
        <w:rPr>
          <w:rFonts w:ascii="Times New Roman" w:eastAsia="Times New Roman" w:hAnsi="Times New Roman" w:cs="Times New Roman"/>
          <w:b/>
          <w:sz w:val="24"/>
          <w:szCs w:val="24"/>
        </w:rPr>
        <w:t xml:space="preserve"> Fitzpatrick</w:t>
      </w:r>
    </w:p>
    <w:p w:rsidR="00DE1B4A" w:rsidRPr="00B63B59" w:rsidRDefault="002A2697" w:rsidP="00B63B59">
      <w:pPr>
        <w:spacing w:after="100" w:line="240" w:lineRule="auto"/>
        <w:rPr>
          <w:rFonts w:ascii="Times New Roman" w:eastAsia="Times New Roman" w:hAnsi="Times New Roman" w:cs="Times New Roman"/>
          <w:sz w:val="24"/>
          <w:szCs w:val="24"/>
        </w:rPr>
      </w:pPr>
      <w:r w:rsidRPr="00B63B59">
        <w:rPr>
          <w:rFonts w:ascii="Times New Roman" w:eastAsia="Times New Roman" w:hAnsi="Times New Roman" w:cs="Times New Roman"/>
          <w:sz w:val="24"/>
          <w:szCs w:val="24"/>
        </w:rPr>
        <w:t>Thank you for illuminating us about the current issue restricting APRN scope of practice in Connecticut. I reside in</w:t>
      </w:r>
      <w:r w:rsidR="00755428" w:rsidRPr="00B63B59">
        <w:rPr>
          <w:rFonts w:ascii="Times New Roman" w:eastAsia="Times New Roman" w:hAnsi="Times New Roman" w:cs="Times New Roman"/>
          <w:sz w:val="24"/>
          <w:szCs w:val="24"/>
        </w:rPr>
        <w:t xml:space="preserve"> Massachusetts and understand the degree to which legislative issues affect our ability to practice fully. </w:t>
      </w:r>
      <w:r w:rsidR="005B55C3" w:rsidRPr="00B63B59">
        <w:rPr>
          <w:rFonts w:ascii="Times New Roman" w:eastAsia="Times New Roman" w:hAnsi="Times New Roman" w:cs="Times New Roman"/>
          <w:sz w:val="24"/>
          <w:szCs w:val="24"/>
        </w:rPr>
        <w:t>As supported by</w:t>
      </w:r>
      <w:r w:rsidR="00AC6E4E" w:rsidRPr="00B63B59">
        <w:rPr>
          <w:rFonts w:ascii="Times New Roman" w:eastAsia="Times New Roman" w:hAnsi="Times New Roman" w:cs="Times New Roman"/>
          <w:sz w:val="24"/>
          <w:szCs w:val="24"/>
        </w:rPr>
        <w:t xml:space="preserve"> </w:t>
      </w:r>
      <w:proofErr w:type="spellStart"/>
      <w:r w:rsidR="00AC6E4E" w:rsidRPr="00B63B59">
        <w:rPr>
          <w:rFonts w:ascii="Times New Roman" w:eastAsia="Times New Roman" w:hAnsi="Times New Roman" w:cs="Times New Roman"/>
          <w:sz w:val="24"/>
          <w:szCs w:val="24"/>
        </w:rPr>
        <w:t>Kleinpell</w:t>
      </w:r>
      <w:proofErr w:type="spellEnd"/>
      <w:r w:rsidR="00AC6E4E" w:rsidRPr="00B63B59">
        <w:rPr>
          <w:rFonts w:ascii="Times New Roman" w:eastAsia="Times New Roman" w:hAnsi="Times New Roman" w:cs="Times New Roman"/>
          <w:sz w:val="24"/>
          <w:szCs w:val="24"/>
        </w:rPr>
        <w:t xml:space="preserve"> et al. (2021)</w:t>
      </w:r>
      <w:r w:rsidR="005B55C3" w:rsidRPr="00B63B59">
        <w:rPr>
          <w:rFonts w:ascii="Times New Roman" w:eastAsia="Times New Roman" w:hAnsi="Times New Roman" w:cs="Times New Roman"/>
          <w:sz w:val="24"/>
          <w:szCs w:val="24"/>
        </w:rPr>
        <w:t xml:space="preserve">, the COVID-19 brought realizations of the impact of practice restrictions on access to care. </w:t>
      </w:r>
      <w:r w:rsidR="005B55C3" w:rsidRPr="00B63B59">
        <w:rPr>
          <w:rFonts w:ascii="Times New Roman" w:eastAsia="Times New Roman" w:hAnsi="Times New Roman" w:cs="Times New Roman"/>
          <w:sz w:val="24"/>
          <w:szCs w:val="24"/>
        </w:rPr>
        <w:t>However</w:t>
      </w:r>
      <w:r w:rsidR="00AB561B" w:rsidRPr="00B63B59">
        <w:rPr>
          <w:rFonts w:ascii="Times New Roman" w:eastAsia="Times New Roman" w:hAnsi="Times New Roman" w:cs="Times New Roman"/>
          <w:sz w:val="24"/>
          <w:szCs w:val="24"/>
        </w:rPr>
        <w:t xml:space="preserve">, collaborative agreements remain a significant impediment to APRN full practice authority also in Massachusetts. </w:t>
      </w:r>
      <w:r w:rsidR="00265903" w:rsidRPr="00B63B59">
        <w:rPr>
          <w:rFonts w:ascii="Times New Roman" w:eastAsia="Times New Roman" w:hAnsi="Times New Roman" w:cs="Times New Roman"/>
          <w:sz w:val="24"/>
          <w:szCs w:val="24"/>
        </w:rPr>
        <w:t xml:space="preserve">The collaborative practice agreements not only affect APRN scope of practice but also have economic implications, as established by Martin and Alexander (2019). The legislative agenda in Connecticut could aptly address the restriction and allow APRN independence. </w:t>
      </w:r>
      <w:r w:rsidR="00154E45" w:rsidRPr="00B63B59">
        <w:rPr>
          <w:rFonts w:ascii="Times New Roman" w:eastAsia="Times New Roman" w:hAnsi="Times New Roman" w:cs="Times New Roman"/>
          <w:sz w:val="24"/>
          <w:szCs w:val="24"/>
        </w:rPr>
        <w:t>Removing the restrictions would allow APRN independence, which could significantly enhance access to timely care. I believe that writing to your representative and lobbying other nurses in your state to do the same could drive support and enactment of the bill.</w:t>
      </w:r>
    </w:p>
    <w:p w:rsidR="00154E45" w:rsidRPr="00B63B59" w:rsidRDefault="00154E45" w:rsidP="00B63B59">
      <w:pPr>
        <w:spacing w:after="100" w:line="240" w:lineRule="auto"/>
        <w:jc w:val="center"/>
        <w:rPr>
          <w:rFonts w:ascii="Times New Roman" w:eastAsia="Times New Roman" w:hAnsi="Times New Roman" w:cs="Times New Roman"/>
          <w:sz w:val="24"/>
          <w:szCs w:val="24"/>
        </w:rPr>
      </w:pPr>
      <w:r w:rsidRPr="00B63B59">
        <w:rPr>
          <w:rFonts w:ascii="Times New Roman" w:eastAsia="Times New Roman" w:hAnsi="Times New Roman" w:cs="Times New Roman"/>
          <w:sz w:val="24"/>
          <w:szCs w:val="24"/>
        </w:rPr>
        <w:t xml:space="preserve">References </w:t>
      </w:r>
    </w:p>
    <w:p w:rsidR="00AC6E4E" w:rsidRPr="00B63B59" w:rsidRDefault="00AC6E4E" w:rsidP="00B63B59">
      <w:pPr>
        <w:spacing w:after="100" w:line="240" w:lineRule="auto"/>
        <w:ind w:left="720" w:hanging="720"/>
        <w:rPr>
          <w:rStyle w:val="element-citation"/>
          <w:rFonts w:ascii="Times New Roman" w:eastAsia="Times New Roman" w:hAnsi="Times New Roman" w:cs="Times New Roman"/>
          <w:sz w:val="24"/>
          <w:szCs w:val="24"/>
        </w:rPr>
      </w:pPr>
      <w:proofErr w:type="spellStart"/>
      <w:r w:rsidRPr="00AC6E4E">
        <w:rPr>
          <w:rFonts w:ascii="Times New Roman" w:eastAsia="Times New Roman" w:hAnsi="Times New Roman" w:cs="Times New Roman"/>
          <w:sz w:val="24"/>
          <w:szCs w:val="24"/>
        </w:rPr>
        <w:t>Kleinpell</w:t>
      </w:r>
      <w:proofErr w:type="spellEnd"/>
      <w:r w:rsidRPr="00AC6E4E">
        <w:rPr>
          <w:rFonts w:ascii="Times New Roman" w:eastAsia="Times New Roman" w:hAnsi="Times New Roman" w:cs="Times New Roman"/>
          <w:sz w:val="24"/>
          <w:szCs w:val="24"/>
        </w:rPr>
        <w:t xml:space="preserve">, R., Myers, C. R., </w:t>
      </w:r>
      <w:proofErr w:type="spellStart"/>
      <w:r w:rsidRPr="00AC6E4E">
        <w:rPr>
          <w:rFonts w:ascii="Times New Roman" w:eastAsia="Times New Roman" w:hAnsi="Times New Roman" w:cs="Times New Roman"/>
          <w:sz w:val="24"/>
          <w:szCs w:val="24"/>
        </w:rPr>
        <w:t>Schorn</w:t>
      </w:r>
      <w:proofErr w:type="spellEnd"/>
      <w:r w:rsidRPr="00AC6E4E">
        <w:rPr>
          <w:rFonts w:ascii="Times New Roman" w:eastAsia="Times New Roman" w:hAnsi="Times New Roman" w:cs="Times New Roman"/>
          <w:sz w:val="24"/>
          <w:szCs w:val="24"/>
        </w:rPr>
        <w:t xml:space="preserve">, M. N., &amp; Likes, W. (2021). Impact of COVID-19 pandemic on APRN practice: Results from a national survey. </w:t>
      </w:r>
      <w:r w:rsidRPr="00AC6E4E">
        <w:rPr>
          <w:rFonts w:ascii="Times New Roman" w:eastAsia="Times New Roman" w:hAnsi="Times New Roman" w:cs="Times New Roman"/>
          <w:i/>
          <w:iCs/>
          <w:sz w:val="24"/>
          <w:szCs w:val="24"/>
        </w:rPr>
        <w:t>Nursing outlook</w:t>
      </w:r>
      <w:r w:rsidRPr="00AC6E4E">
        <w:rPr>
          <w:rFonts w:ascii="Times New Roman" w:eastAsia="Times New Roman" w:hAnsi="Times New Roman" w:cs="Times New Roman"/>
          <w:sz w:val="24"/>
          <w:szCs w:val="24"/>
        </w:rPr>
        <w:t xml:space="preserve">, </w:t>
      </w:r>
      <w:r w:rsidRPr="00AC6E4E">
        <w:rPr>
          <w:rFonts w:ascii="Times New Roman" w:eastAsia="Times New Roman" w:hAnsi="Times New Roman" w:cs="Times New Roman"/>
          <w:i/>
          <w:iCs/>
          <w:sz w:val="24"/>
          <w:szCs w:val="24"/>
        </w:rPr>
        <w:t>69</w:t>
      </w:r>
      <w:r w:rsidRPr="00AC6E4E">
        <w:rPr>
          <w:rFonts w:ascii="Times New Roman" w:eastAsia="Times New Roman" w:hAnsi="Times New Roman" w:cs="Times New Roman"/>
          <w:sz w:val="24"/>
          <w:szCs w:val="24"/>
        </w:rPr>
        <w:t>(5), 783–792. https://doi.org/10.1016/j.outlook.2021.05.002</w:t>
      </w:r>
    </w:p>
    <w:p w:rsidR="00154E45" w:rsidRPr="00B63B59" w:rsidRDefault="00AC6E4E" w:rsidP="00B63B59">
      <w:pPr>
        <w:spacing w:after="100" w:line="240" w:lineRule="auto"/>
        <w:ind w:left="720" w:hanging="720"/>
        <w:rPr>
          <w:rStyle w:val="element-citation"/>
          <w:rFonts w:ascii="Times New Roman" w:hAnsi="Times New Roman" w:cs="Times New Roman"/>
          <w:sz w:val="24"/>
          <w:szCs w:val="24"/>
        </w:rPr>
      </w:pPr>
      <w:r w:rsidRPr="00B63B59">
        <w:rPr>
          <w:rStyle w:val="element-citation"/>
          <w:rFonts w:ascii="Times New Roman" w:hAnsi="Times New Roman" w:cs="Times New Roman"/>
          <w:sz w:val="24"/>
          <w:szCs w:val="24"/>
        </w:rPr>
        <w:t>Martin B., Alexander M.</w:t>
      </w:r>
      <w:r w:rsidRPr="00B63B59">
        <w:rPr>
          <w:rStyle w:val="element-citation"/>
          <w:rFonts w:ascii="Times New Roman" w:hAnsi="Times New Roman" w:cs="Times New Roman"/>
          <w:sz w:val="24"/>
          <w:szCs w:val="24"/>
        </w:rPr>
        <w:t xml:space="preserve"> (2019).</w:t>
      </w:r>
      <w:r w:rsidRPr="00B63B59">
        <w:rPr>
          <w:rStyle w:val="element-citation"/>
          <w:rFonts w:ascii="Times New Roman" w:hAnsi="Times New Roman" w:cs="Times New Roman"/>
          <w:sz w:val="24"/>
          <w:szCs w:val="24"/>
        </w:rPr>
        <w:t xml:space="preserve"> The economic burden and practice restrictions associated with collaborative practice agreements: A national survey of advanced practice registered nurses. </w:t>
      </w:r>
      <w:r w:rsidRPr="00B63B59">
        <w:rPr>
          <w:rStyle w:val="ref-journal"/>
          <w:rFonts w:ascii="Times New Roman" w:hAnsi="Times New Roman" w:cs="Times New Roman"/>
          <w:i/>
          <w:sz w:val="24"/>
          <w:szCs w:val="24"/>
        </w:rPr>
        <w:t>Journal of Nursing Regulation</w:t>
      </w:r>
      <w:r w:rsidRPr="00B63B59">
        <w:rPr>
          <w:rStyle w:val="ref-journal"/>
          <w:rFonts w:ascii="Times New Roman" w:hAnsi="Times New Roman" w:cs="Times New Roman"/>
          <w:i/>
          <w:sz w:val="24"/>
          <w:szCs w:val="24"/>
        </w:rPr>
        <w:t>,</w:t>
      </w:r>
      <w:r w:rsidRPr="00B63B59">
        <w:rPr>
          <w:rStyle w:val="ref-journal"/>
          <w:rFonts w:ascii="Times New Roman" w:hAnsi="Times New Roman" w:cs="Times New Roman"/>
          <w:sz w:val="24"/>
          <w:szCs w:val="24"/>
        </w:rPr>
        <w:t xml:space="preserve"> </w:t>
      </w:r>
      <w:r w:rsidRPr="00B63B59">
        <w:rPr>
          <w:rStyle w:val="Emphasis"/>
          <w:rFonts w:ascii="Times New Roman" w:hAnsi="Times New Roman" w:cs="Times New Roman"/>
          <w:sz w:val="24"/>
          <w:szCs w:val="24"/>
        </w:rPr>
        <w:t>9</w:t>
      </w:r>
      <w:r w:rsidRPr="00B63B59">
        <w:rPr>
          <w:rStyle w:val="element-citation"/>
          <w:rFonts w:ascii="Times New Roman" w:hAnsi="Times New Roman" w:cs="Times New Roman"/>
          <w:sz w:val="24"/>
          <w:szCs w:val="24"/>
        </w:rPr>
        <w:t xml:space="preserve">(4), </w:t>
      </w:r>
      <w:r w:rsidRPr="00B63B59">
        <w:rPr>
          <w:rStyle w:val="element-citation"/>
          <w:rFonts w:ascii="Times New Roman" w:hAnsi="Times New Roman" w:cs="Times New Roman"/>
          <w:sz w:val="24"/>
          <w:szCs w:val="24"/>
        </w:rPr>
        <w:t xml:space="preserve">22–30. </w:t>
      </w:r>
      <w:hyperlink r:id="rId6" w:history="1">
        <w:r w:rsidR="00B63B59" w:rsidRPr="00B63B59">
          <w:rPr>
            <w:rStyle w:val="Hyperlink"/>
            <w:rFonts w:ascii="Times New Roman" w:hAnsi="Times New Roman" w:cs="Times New Roman"/>
            <w:sz w:val="24"/>
            <w:szCs w:val="24"/>
          </w:rPr>
          <w:t>https://doi.org/10.1016/S2155-8256(19)30012-2</w:t>
        </w:r>
      </w:hyperlink>
      <w:r w:rsidRPr="00B63B59">
        <w:rPr>
          <w:rStyle w:val="element-citation"/>
          <w:rFonts w:ascii="Times New Roman" w:hAnsi="Times New Roman" w:cs="Times New Roman"/>
          <w:sz w:val="24"/>
          <w:szCs w:val="24"/>
        </w:rPr>
        <w:t xml:space="preserve"> </w:t>
      </w:r>
    </w:p>
    <w:p w:rsidR="00AC6E4E" w:rsidRPr="00B63B59" w:rsidRDefault="00AC6E4E" w:rsidP="00B63B59">
      <w:pPr>
        <w:spacing w:after="100" w:line="240" w:lineRule="auto"/>
        <w:ind w:left="720" w:hanging="720"/>
        <w:rPr>
          <w:rFonts w:ascii="Times New Roman" w:eastAsia="Times New Roman" w:hAnsi="Times New Roman" w:cs="Times New Roman"/>
          <w:sz w:val="24"/>
          <w:szCs w:val="24"/>
        </w:rPr>
      </w:pPr>
      <w:bookmarkStart w:id="0" w:name="_GoBack"/>
      <w:bookmarkEnd w:id="0"/>
    </w:p>
    <w:sectPr w:rsidR="00AC6E4E" w:rsidRPr="00B63B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B3F"/>
    <w:rsid w:val="000149C0"/>
    <w:rsid w:val="00116B3F"/>
    <w:rsid w:val="00154E45"/>
    <w:rsid w:val="00265903"/>
    <w:rsid w:val="002A2697"/>
    <w:rsid w:val="00463E52"/>
    <w:rsid w:val="004708D7"/>
    <w:rsid w:val="0056753D"/>
    <w:rsid w:val="005B55C3"/>
    <w:rsid w:val="006B6647"/>
    <w:rsid w:val="006E60FE"/>
    <w:rsid w:val="00744E99"/>
    <w:rsid w:val="00755428"/>
    <w:rsid w:val="00936A3E"/>
    <w:rsid w:val="00A6295D"/>
    <w:rsid w:val="00A67188"/>
    <w:rsid w:val="00AB561B"/>
    <w:rsid w:val="00AC49F9"/>
    <w:rsid w:val="00AC6E4E"/>
    <w:rsid w:val="00B63B59"/>
    <w:rsid w:val="00B66F85"/>
    <w:rsid w:val="00BA0C05"/>
    <w:rsid w:val="00BB7DF4"/>
    <w:rsid w:val="00C44E86"/>
    <w:rsid w:val="00D766E7"/>
    <w:rsid w:val="00DE1B4A"/>
    <w:rsid w:val="00F95D16"/>
    <w:rsid w:val="00FB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A1B99"/>
  <w15:chartTrackingRefBased/>
  <w15:docId w15:val="{02DF9A98-3734-4DC2-BD8C-348EB41B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4E99"/>
    <w:rPr>
      <w:color w:val="0563C1" w:themeColor="hyperlink"/>
      <w:u w:val="single"/>
    </w:rPr>
  </w:style>
  <w:style w:type="character" w:customStyle="1" w:styleId="element-citation">
    <w:name w:val="element-citation"/>
    <w:basedOn w:val="DefaultParagraphFont"/>
    <w:rsid w:val="00AC6E4E"/>
  </w:style>
  <w:style w:type="character" w:customStyle="1" w:styleId="ref-journal">
    <w:name w:val="ref-journal"/>
    <w:basedOn w:val="DefaultParagraphFont"/>
    <w:rsid w:val="00AC6E4E"/>
  </w:style>
  <w:style w:type="character" w:styleId="Emphasis">
    <w:name w:val="Emphasis"/>
    <w:basedOn w:val="DefaultParagraphFont"/>
    <w:uiPriority w:val="20"/>
    <w:qFormat/>
    <w:rsid w:val="00AC6E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151415">
      <w:bodyDiv w:val="1"/>
      <w:marLeft w:val="0"/>
      <w:marRight w:val="0"/>
      <w:marTop w:val="0"/>
      <w:marBottom w:val="0"/>
      <w:divBdr>
        <w:top w:val="none" w:sz="0" w:space="0" w:color="auto"/>
        <w:left w:val="none" w:sz="0" w:space="0" w:color="auto"/>
        <w:bottom w:val="none" w:sz="0" w:space="0" w:color="auto"/>
        <w:right w:val="none" w:sz="0" w:space="0" w:color="auto"/>
      </w:divBdr>
      <w:divsChild>
        <w:div w:id="877086006">
          <w:marLeft w:val="0"/>
          <w:marRight w:val="0"/>
          <w:marTop w:val="0"/>
          <w:marBottom w:val="0"/>
          <w:divBdr>
            <w:top w:val="none" w:sz="0" w:space="0" w:color="auto"/>
            <w:left w:val="none" w:sz="0" w:space="0" w:color="auto"/>
            <w:bottom w:val="none" w:sz="0" w:space="0" w:color="auto"/>
            <w:right w:val="none" w:sz="0" w:space="0" w:color="auto"/>
          </w:divBdr>
        </w:div>
      </w:divsChild>
    </w:div>
    <w:div w:id="1626422886">
      <w:bodyDiv w:val="1"/>
      <w:marLeft w:val="0"/>
      <w:marRight w:val="0"/>
      <w:marTop w:val="0"/>
      <w:marBottom w:val="0"/>
      <w:divBdr>
        <w:top w:val="none" w:sz="0" w:space="0" w:color="auto"/>
        <w:left w:val="none" w:sz="0" w:space="0" w:color="auto"/>
        <w:bottom w:val="none" w:sz="0" w:space="0" w:color="auto"/>
        <w:right w:val="none" w:sz="0" w:space="0" w:color="auto"/>
      </w:divBdr>
      <w:divsChild>
        <w:div w:id="1845894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S2155-8256(19)30012-2" TargetMode="External"/><Relationship Id="rId5" Type="http://schemas.openxmlformats.org/officeDocument/2006/relationships/hyperlink" Target="https://doi.org/10.1177/0269215519852987" TargetMode="External"/><Relationship Id="rId4" Type="http://schemas.openxmlformats.org/officeDocument/2006/relationships/hyperlink" Target="https://doi.org/10.1016/j.ijnurstu.2021.104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2023-08-03T18:27:00Z</dcterms:created>
  <dcterms:modified xsi:type="dcterms:W3CDTF">2023-08-03T20:43:00Z</dcterms:modified>
</cp:coreProperties>
</file>