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E31" w:rsidRDefault="00E71E31" w:rsidP="00E71E31">
      <w:pPr>
        <w:jc w:val="center"/>
        <w:rPr>
          <w:b/>
        </w:rPr>
      </w:pPr>
    </w:p>
    <w:p w:rsidR="00E71E31" w:rsidRDefault="00E71E31" w:rsidP="00E71E31">
      <w:pPr>
        <w:jc w:val="center"/>
        <w:rPr>
          <w:b/>
        </w:rPr>
      </w:pPr>
    </w:p>
    <w:p w:rsidR="00E71E31" w:rsidRDefault="00E71E31" w:rsidP="00E71E31">
      <w:pPr>
        <w:jc w:val="center"/>
        <w:rPr>
          <w:b/>
        </w:rPr>
      </w:pPr>
    </w:p>
    <w:p w:rsidR="00E71E31" w:rsidRDefault="00E71E31" w:rsidP="00E71E31">
      <w:pPr>
        <w:jc w:val="center"/>
        <w:rPr>
          <w:b/>
        </w:rPr>
      </w:pPr>
    </w:p>
    <w:p w:rsidR="00E71E31" w:rsidRDefault="00E71E31" w:rsidP="00E71E31">
      <w:pPr>
        <w:jc w:val="center"/>
        <w:rPr>
          <w:b/>
        </w:rPr>
      </w:pPr>
    </w:p>
    <w:p w:rsidR="00E71E31" w:rsidRDefault="00E71E31" w:rsidP="00E71E31">
      <w:pPr>
        <w:jc w:val="center"/>
        <w:rPr>
          <w:b/>
        </w:rPr>
      </w:pPr>
    </w:p>
    <w:p w:rsidR="00E71E31" w:rsidRDefault="00E71E31" w:rsidP="00E71E31">
      <w:pPr>
        <w:jc w:val="center"/>
        <w:rPr>
          <w:b/>
        </w:rPr>
      </w:pPr>
    </w:p>
    <w:p w:rsidR="00E71E31" w:rsidRDefault="00E71E31" w:rsidP="00E71E31">
      <w:pPr>
        <w:jc w:val="center"/>
        <w:rPr>
          <w:b/>
        </w:rPr>
      </w:pPr>
    </w:p>
    <w:p w:rsidR="00E71E31" w:rsidRDefault="00E71E31" w:rsidP="00E71E31">
      <w:pPr>
        <w:jc w:val="center"/>
        <w:rPr>
          <w:b/>
        </w:rPr>
      </w:pPr>
      <w:r>
        <w:rPr>
          <w:b/>
        </w:rPr>
        <w:t>Week 14 Assignment 4: Weekly Reflection</w:t>
      </w:r>
    </w:p>
    <w:p w:rsidR="00E71E31" w:rsidRDefault="00E71E31" w:rsidP="00E71E31">
      <w:pPr>
        <w:jc w:val="center"/>
        <w:rPr>
          <w:b/>
        </w:rPr>
      </w:pPr>
    </w:p>
    <w:p w:rsidR="00E71E31" w:rsidRDefault="00E71E31" w:rsidP="00E71E31">
      <w:pPr>
        <w:jc w:val="center"/>
      </w:pPr>
      <w:r>
        <w:t>Name</w:t>
      </w:r>
    </w:p>
    <w:p w:rsidR="00E71E31" w:rsidRDefault="00E71E31" w:rsidP="00E71E31">
      <w:pPr>
        <w:jc w:val="center"/>
      </w:pPr>
      <w:r>
        <w:t>School Affiliation</w:t>
      </w:r>
    </w:p>
    <w:p w:rsidR="00E71E31" w:rsidRDefault="00E71E31" w:rsidP="00E71E31">
      <w:pPr>
        <w:jc w:val="center"/>
      </w:pPr>
      <w:r>
        <w:t>Course</w:t>
      </w:r>
    </w:p>
    <w:p w:rsidR="00E71E31" w:rsidRDefault="00E71E31" w:rsidP="00E71E31">
      <w:pPr>
        <w:jc w:val="center"/>
      </w:pPr>
      <w:r>
        <w:t>Instructor</w:t>
      </w:r>
    </w:p>
    <w:p w:rsidR="00E71E31" w:rsidRDefault="00E71E31" w:rsidP="00E71E31">
      <w:pPr>
        <w:jc w:val="center"/>
      </w:pPr>
      <w:r>
        <w:t>Date Due</w:t>
      </w:r>
    </w:p>
    <w:p w:rsidR="00E71E31" w:rsidRDefault="00E71E31">
      <w:r>
        <w:br w:type="page"/>
      </w:r>
    </w:p>
    <w:p w:rsidR="00E71E31" w:rsidRPr="00E71E31" w:rsidRDefault="00E71E31" w:rsidP="00E71E31">
      <w:pPr>
        <w:jc w:val="center"/>
      </w:pPr>
      <w:r>
        <w:rPr>
          <w:b/>
        </w:rPr>
        <w:lastRenderedPageBreak/>
        <w:t>Week 14 Assignment 4: Weekly Reflection</w:t>
      </w:r>
    </w:p>
    <w:p w:rsidR="00A67188" w:rsidRDefault="008A0107">
      <w:bookmarkStart w:id="0" w:name="_GoBack"/>
      <w:r>
        <w:tab/>
      </w:r>
      <w:r w:rsidR="006508E2">
        <w:t xml:space="preserve">The recovery journey for some </w:t>
      </w:r>
      <w:r w:rsidR="00BF0EE5">
        <w:t xml:space="preserve">patients </w:t>
      </w:r>
      <w:r w:rsidR="006508E2">
        <w:t>has been challenging, while others have experienced significant changes. Reflecting on the journey of one patients who had presented with schizophrenia and an ongoing problem of medication</w:t>
      </w:r>
      <w:r w:rsidR="00BF0EE5">
        <w:t xml:space="preserve"> non-</w:t>
      </w:r>
      <w:r w:rsidR="006508E2">
        <w:t xml:space="preserve">adherence is a testament of the </w:t>
      </w:r>
      <w:r w:rsidR="00741395">
        <w:t xml:space="preserve">need for ongoing patient support. During the initial presentation, the situation was challenging, marked by the patient’s apprehension towards medical treatment and strained relationships with the clinical support. The reflection highlights how the situation has evolved, the actions I employed to guide the relationships, the interventions or strategies I tried, the current outcomes, and the ongoing goals for the patient. </w:t>
      </w:r>
    </w:p>
    <w:p w:rsidR="00E02CC3" w:rsidRDefault="00E02CC3">
      <w:r>
        <w:tab/>
        <w:t xml:space="preserve">At the outset, establishing a therapeutic relationship with the patient was paramount. </w:t>
      </w:r>
      <w:r w:rsidR="004A1CED">
        <w:t>Initially, I used active listening and empathy, acknowledging the patient’</w:t>
      </w:r>
      <w:r w:rsidR="00ED0149">
        <w:t>s concerns an</w:t>
      </w:r>
      <w:r w:rsidR="004A1CED">
        <w:t>d fears about treatment. Consistent with evidence (</w:t>
      </w:r>
      <w:proofErr w:type="spellStart"/>
      <w:r w:rsidR="00FB2D24">
        <w:t>Wampold</w:t>
      </w:r>
      <w:proofErr w:type="spellEnd"/>
      <w:r w:rsidR="00FB2D24">
        <w:t xml:space="preserve"> &amp; </w:t>
      </w:r>
      <w:proofErr w:type="spellStart"/>
      <w:r w:rsidR="00FB2D24" w:rsidRPr="00FB2D24">
        <w:rPr>
          <w:rFonts w:eastAsia="Times New Roman"/>
        </w:rPr>
        <w:t>Flückiger</w:t>
      </w:r>
      <w:proofErr w:type="spellEnd"/>
      <w:r w:rsidR="00FB2D24">
        <w:rPr>
          <w:rFonts w:eastAsia="Times New Roman"/>
        </w:rPr>
        <w:t>, 2023</w:t>
      </w:r>
      <w:r w:rsidR="004A1CED">
        <w:t xml:space="preserve">), the </w:t>
      </w:r>
      <w:r w:rsidR="00ED0149">
        <w:t xml:space="preserve">development of a therapeutic alliance involved a gradual process aimed at understanding their worldview, while ensuring their autonomy and fostering a sense of empowerment. </w:t>
      </w:r>
      <w:r w:rsidR="009D1581">
        <w:t xml:space="preserve">The initial intervention set the foundation for a relationship that has led to significant improvements in the relationship with the patient. During the last week’s session, the patient demonstrated </w:t>
      </w:r>
      <w:r w:rsidR="0079586A">
        <w:t xml:space="preserve">improved acceptance of medication and cooperative and engaged. The changes </w:t>
      </w:r>
      <w:proofErr w:type="gramStart"/>
      <w:r w:rsidR="0079586A">
        <w:t>could be attributed</w:t>
      </w:r>
      <w:proofErr w:type="gramEnd"/>
      <w:r w:rsidR="0079586A">
        <w:t xml:space="preserve"> to several multifaceted strategies I applied. </w:t>
      </w:r>
      <w:r w:rsidR="00A631F1">
        <w:t xml:space="preserve">Firstly, ongoing psychoeducation </w:t>
      </w:r>
      <w:r w:rsidR="007D3E4C">
        <w:t xml:space="preserve">and </w:t>
      </w:r>
      <w:r w:rsidR="00813C64">
        <w:t xml:space="preserve">involvement of their family </w:t>
      </w:r>
      <w:r w:rsidR="00A631F1">
        <w:t xml:space="preserve">was crucial in improving the situation. Evidence shows that ongoing </w:t>
      </w:r>
      <w:r w:rsidR="00813C64">
        <w:t xml:space="preserve">family-based </w:t>
      </w:r>
      <w:r w:rsidR="00A631F1">
        <w:t>psychoeducation plays a vital role in reducing relapse and promoting adherence</w:t>
      </w:r>
      <w:r w:rsidR="00813C64">
        <w:t xml:space="preserve"> (</w:t>
      </w:r>
      <w:proofErr w:type="spellStart"/>
      <w:r w:rsidR="00FB2D24">
        <w:t>Sarkhel</w:t>
      </w:r>
      <w:proofErr w:type="spellEnd"/>
      <w:r w:rsidR="00FB2D24">
        <w:t xml:space="preserve"> et al., 2019</w:t>
      </w:r>
      <w:r w:rsidR="00813C64">
        <w:t xml:space="preserve">). The telephone-based psychoeducation focused on the symptoms, </w:t>
      </w:r>
      <w:r w:rsidR="001537F9">
        <w:t xml:space="preserve">relationship between schizophrenia, stress, and coping, the role of family in supporting the patient, importance of medication adherence, </w:t>
      </w:r>
      <w:r w:rsidR="00281C90">
        <w:t xml:space="preserve">and consequences of non-compliance. In addition, employing motivational </w:t>
      </w:r>
      <w:r w:rsidR="00281C90">
        <w:lastRenderedPageBreak/>
        <w:t xml:space="preserve">interviewing (MI) techniques helped in exploring and addressing the patient’s ambivalence towards treatment. </w:t>
      </w:r>
      <w:r w:rsidR="0072226F">
        <w:t>The existing literature identifies MI as a crucial approach to enhancing medication adherence among patients with schizophrenia (</w:t>
      </w:r>
      <w:proofErr w:type="spellStart"/>
      <w:r w:rsidR="00FB2D24">
        <w:t>Cahaya</w:t>
      </w:r>
      <w:proofErr w:type="spellEnd"/>
      <w:r w:rsidR="00FB2D24">
        <w:t xml:space="preserve"> et al., 2022</w:t>
      </w:r>
      <w:r w:rsidR="00E71E31">
        <w:t xml:space="preserve">; </w:t>
      </w:r>
      <w:proofErr w:type="spellStart"/>
      <w:r w:rsidR="00E71E31">
        <w:t>Dobber</w:t>
      </w:r>
      <w:proofErr w:type="spellEnd"/>
      <w:r w:rsidR="00E71E31">
        <w:t xml:space="preserve"> et al., 2018)</w:t>
      </w:r>
      <w:r w:rsidR="0072226F">
        <w:t xml:space="preserve">. The strategy played a pivotal role in increasing the patient’s motivation to change pertaining to medication adherence and relationships with clinicians. </w:t>
      </w:r>
      <w:r w:rsidR="007F7025">
        <w:t xml:space="preserve">Collaborative efforts with the multidisciplinary team was indispensable in changing the situation. Coordinating efforts with other MDT members ensured consistency in messaging about treatment and support. </w:t>
      </w:r>
    </w:p>
    <w:p w:rsidR="007F7025" w:rsidRDefault="007F7025">
      <w:r>
        <w:tab/>
        <w:t xml:space="preserve">Over the </w:t>
      </w:r>
      <w:r w:rsidR="00BC041C">
        <w:t xml:space="preserve">weeks, the situation has evolved positively, as evidence from the telephone conversation with the patient and presentation during the past week. The patient has shown improved trust </w:t>
      </w:r>
      <w:r w:rsidR="00FC0EC6">
        <w:t>with the treatment process, leading to enhanced medication adherence. In addition, the relationship with the clinical staff has transitioned from apprehension to more open and collaborative. The shift indicates the effectiveness of the strategies used to enhance relationships and ensure medication adherence.</w:t>
      </w:r>
      <w:r w:rsidR="00B3774A">
        <w:t xml:space="preserve"> T</w:t>
      </w:r>
      <w:r w:rsidR="00FC0EC6">
        <w:t xml:space="preserve">he current outcomes indicate an engaged patient ready to participate actively in their treatment. However, acknowledging that the management of schizophrenia </w:t>
      </w:r>
      <w:r w:rsidR="00B3774A">
        <w:t>and ensuring consistent adherence as an ongoing process is critical. In this regard, my goals with the patient is to maintain the positive trajectory</w:t>
      </w:r>
      <w:r w:rsidR="00EB7461">
        <w:t>. I will continually reinforce the importance of treatment adherence and collaborate with the MDT in monitoring emerging concerns</w:t>
      </w:r>
      <w:r w:rsidR="008B51E1">
        <w:t xml:space="preserve"> and barriers that may reverse the gains.</w:t>
      </w:r>
    </w:p>
    <w:bookmarkEnd w:id="0"/>
    <w:p w:rsidR="008B51E1" w:rsidRDefault="008B51E1">
      <w:r>
        <w:br w:type="page"/>
      </w:r>
    </w:p>
    <w:p w:rsidR="008B51E1" w:rsidRDefault="008B51E1" w:rsidP="008B51E1">
      <w:pPr>
        <w:jc w:val="center"/>
        <w:rPr>
          <w:b/>
        </w:rPr>
      </w:pPr>
      <w:r>
        <w:rPr>
          <w:b/>
        </w:rPr>
        <w:lastRenderedPageBreak/>
        <w:t xml:space="preserve">References </w:t>
      </w:r>
    </w:p>
    <w:p w:rsidR="00E71E31" w:rsidRDefault="00E71E31" w:rsidP="00FB2D24">
      <w:pPr>
        <w:ind w:left="720" w:hanging="720"/>
        <w:rPr>
          <w:rFonts w:eastAsia="Times New Roman"/>
        </w:rPr>
      </w:pPr>
      <w:proofErr w:type="spellStart"/>
      <w:r w:rsidRPr="00FB2D24">
        <w:rPr>
          <w:rFonts w:eastAsia="Times New Roman"/>
        </w:rPr>
        <w:t>Cahaya</w:t>
      </w:r>
      <w:proofErr w:type="spellEnd"/>
      <w:r w:rsidRPr="00FB2D24">
        <w:rPr>
          <w:rFonts w:eastAsia="Times New Roman"/>
        </w:rPr>
        <w:t xml:space="preserve">, N., Kristina, S. A., </w:t>
      </w:r>
      <w:proofErr w:type="spellStart"/>
      <w:r w:rsidRPr="00FB2D24">
        <w:rPr>
          <w:rFonts w:eastAsia="Times New Roman"/>
        </w:rPr>
        <w:t>Widayanti</w:t>
      </w:r>
      <w:proofErr w:type="spellEnd"/>
      <w:r w:rsidRPr="00FB2D24">
        <w:rPr>
          <w:rFonts w:eastAsia="Times New Roman"/>
        </w:rPr>
        <w:t xml:space="preserve">, A. W., &amp; Green, J. (2022). Interventions to Improve Medication Adherence in People with Schizophrenia: A Systematic Review. </w:t>
      </w:r>
      <w:r w:rsidRPr="00FB2D24">
        <w:rPr>
          <w:rFonts w:eastAsia="Times New Roman"/>
          <w:i/>
          <w:iCs/>
        </w:rPr>
        <w:t>Patient Preference and Adherence</w:t>
      </w:r>
      <w:r w:rsidRPr="00FB2D24">
        <w:rPr>
          <w:rFonts w:eastAsia="Times New Roman"/>
        </w:rPr>
        <w:t xml:space="preserve">, </w:t>
      </w:r>
      <w:r w:rsidRPr="00FB2D24">
        <w:rPr>
          <w:rFonts w:eastAsia="Times New Roman"/>
          <w:i/>
          <w:iCs/>
        </w:rPr>
        <w:t>16</w:t>
      </w:r>
      <w:r w:rsidRPr="00FB2D24">
        <w:rPr>
          <w:rFonts w:eastAsia="Times New Roman"/>
        </w:rPr>
        <w:t xml:space="preserve">, 2431-2449. </w:t>
      </w:r>
      <w:hyperlink r:id="rId6" w:history="1">
        <w:r w:rsidRPr="005242FE">
          <w:rPr>
            <w:rStyle w:val="Hyperlink"/>
            <w:rFonts w:eastAsia="Times New Roman"/>
          </w:rPr>
          <w:t>https://doi.org/10.2147/PPA.S378951</w:t>
        </w:r>
      </w:hyperlink>
      <w:r>
        <w:rPr>
          <w:rFonts w:eastAsia="Times New Roman"/>
        </w:rPr>
        <w:t xml:space="preserve"> </w:t>
      </w:r>
    </w:p>
    <w:p w:rsidR="00E71E31" w:rsidRPr="00FB2D24" w:rsidRDefault="00E71E31" w:rsidP="00E71E31">
      <w:pPr>
        <w:ind w:left="720" w:hanging="720"/>
        <w:rPr>
          <w:rFonts w:eastAsia="Times New Roman"/>
        </w:rPr>
      </w:pPr>
      <w:proofErr w:type="spellStart"/>
      <w:r w:rsidRPr="00E71E31">
        <w:rPr>
          <w:rFonts w:eastAsia="Times New Roman"/>
        </w:rPr>
        <w:t>Dobber</w:t>
      </w:r>
      <w:proofErr w:type="spellEnd"/>
      <w:r w:rsidRPr="00E71E31">
        <w:rPr>
          <w:rFonts w:eastAsia="Times New Roman"/>
        </w:rPr>
        <w:t xml:space="preserve">, J., </w:t>
      </w:r>
      <w:proofErr w:type="spellStart"/>
      <w:r w:rsidRPr="00E71E31">
        <w:rPr>
          <w:rFonts w:eastAsia="Times New Roman"/>
        </w:rPr>
        <w:t>Latour</w:t>
      </w:r>
      <w:proofErr w:type="spellEnd"/>
      <w:r w:rsidRPr="00E71E31">
        <w:rPr>
          <w:rFonts w:eastAsia="Times New Roman"/>
        </w:rPr>
        <w:t xml:space="preserve">, C., Peters, R., &amp; </w:t>
      </w:r>
      <w:proofErr w:type="spellStart"/>
      <w:r w:rsidRPr="00E71E31">
        <w:rPr>
          <w:rFonts w:eastAsia="Times New Roman"/>
        </w:rPr>
        <w:t>Barkhof</w:t>
      </w:r>
      <w:proofErr w:type="spellEnd"/>
      <w:r w:rsidRPr="00E71E31">
        <w:rPr>
          <w:rFonts w:eastAsia="Times New Roman"/>
        </w:rPr>
        <w:t xml:space="preserve">, E. (2018). Medication adherence in patients with schizophrenia: A qualitative study of the patient process in motivational interviewing. </w:t>
      </w:r>
      <w:r w:rsidRPr="00E71E31">
        <w:rPr>
          <w:rFonts w:eastAsia="Times New Roman"/>
          <w:i/>
          <w:iCs/>
        </w:rPr>
        <w:t>BMC Psychiatry</w:t>
      </w:r>
      <w:r w:rsidRPr="00E71E31">
        <w:rPr>
          <w:rFonts w:eastAsia="Times New Roman"/>
        </w:rPr>
        <w:t xml:space="preserve">, </w:t>
      </w:r>
      <w:r w:rsidRPr="00E71E31">
        <w:rPr>
          <w:rFonts w:eastAsia="Times New Roman"/>
          <w:i/>
          <w:iCs/>
        </w:rPr>
        <w:t>18</w:t>
      </w:r>
      <w:r w:rsidRPr="00E71E31">
        <w:rPr>
          <w:rFonts w:eastAsia="Times New Roman"/>
        </w:rPr>
        <w:t xml:space="preserve">. </w:t>
      </w:r>
      <w:hyperlink r:id="rId7" w:history="1">
        <w:r w:rsidRPr="005242FE">
          <w:rPr>
            <w:rStyle w:val="Hyperlink"/>
            <w:rFonts w:eastAsia="Times New Roman"/>
          </w:rPr>
          <w:t>https://doi.org/10.1186/s12888-018-1724-9</w:t>
        </w:r>
      </w:hyperlink>
      <w:r>
        <w:rPr>
          <w:rFonts w:eastAsia="Times New Roman"/>
        </w:rPr>
        <w:t xml:space="preserve"> </w:t>
      </w:r>
    </w:p>
    <w:p w:rsidR="00E71E31" w:rsidRDefault="00E71E31" w:rsidP="00FB2D24">
      <w:pPr>
        <w:ind w:left="720" w:hanging="720"/>
        <w:rPr>
          <w:rFonts w:eastAsia="Times New Roman"/>
        </w:rPr>
      </w:pPr>
      <w:proofErr w:type="spellStart"/>
      <w:r w:rsidRPr="00FB2D24">
        <w:rPr>
          <w:rFonts w:eastAsia="Times New Roman"/>
        </w:rPr>
        <w:t>Sarkhel</w:t>
      </w:r>
      <w:proofErr w:type="spellEnd"/>
      <w:r w:rsidRPr="00FB2D24">
        <w:rPr>
          <w:rFonts w:eastAsia="Times New Roman"/>
        </w:rPr>
        <w:t xml:space="preserve">, S., Singh, O. P., &amp; Arora, M. (2019). Clinical Practice Guidelines for Psychoeducation in Psychiatric Disorders General Principles of Psychoeducation. </w:t>
      </w:r>
      <w:r w:rsidRPr="00FB2D24">
        <w:rPr>
          <w:rFonts w:eastAsia="Times New Roman"/>
          <w:i/>
          <w:iCs/>
        </w:rPr>
        <w:t>Indian Journal of Psychiatry</w:t>
      </w:r>
      <w:r w:rsidRPr="00FB2D24">
        <w:rPr>
          <w:rFonts w:eastAsia="Times New Roman"/>
        </w:rPr>
        <w:t xml:space="preserve">, </w:t>
      </w:r>
      <w:r w:rsidRPr="00FB2D24">
        <w:rPr>
          <w:rFonts w:eastAsia="Times New Roman"/>
          <w:i/>
          <w:iCs/>
        </w:rPr>
        <w:t>62</w:t>
      </w:r>
      <w:r w:rsidRPr="00FB2D24">
        <w:rPr>
          <w:rFonts w:eastAsia="Times New Roman"/>
        </w:rPr>
        <w:t>(</w:t>
      </w:r>
      <w:proofErr w:type="spellStart"/>
      <w:r w:rsidRPr="00FB2D24">
        <w:rPr>
          <w:rFonts w:eastAsia="Times New Roman"/>
        </w:rPr>
        <w:t>Suppl</w:t>
      </w:r>
      <w:proofErr w:type="spellEnd"/>
      <w:r w:rsidRPr="00FB2D24">
        <w:rPr>
          <w:rFonts w:eastAsia="Times New Roman"/>
        </w:rPr>
        <w:t xml:space="preserve"> 2), S319. </w:t>
      </w:r>
      <w:hyperlink r:id="rId8" w:history="1">
        <w:r w:rsidRPr="005242FE">
          <w:rPr>
            <w:rStyle w:val="Hyperlink"/>
            <w:rFonts w:eastAsia="Times New Roman"/>
          </w:rPr>
          <w:t>https://doi.org/10.4103/psychiatry.IndianJPsychiatry_780_19</w:t>
        </w:r>
      </w:hyperlink>
      <w:r>
        <w:rPr>
          <w:rFonts w:eastAsia="Times New Roman"/>
        </w:rPr>
        <w:t xml:space="preserve"> </w:t>
      </w:r>
    </w:p>
    <w:p w:rsidR="00E71E31" w:rsidRDefault="00E71E31" w:rsidP="00FB2D24">
      <w:pPr>
        <w:ind w:left="720" w:hanging="720"/>
        <w:rPr>
          <w:rFonts w:eastAsia="Times New Roman"/>
        </w:rPr>
      </w:pPr>
      <w:proofErr w:type="spellStart"/>
      <w:r w:rsidRPr="00FB2D24">
        <w:rPr>
          <w:rFonts w:eastAsia="Times New Roman"/>
        </w:rPr>
        <w:t>Wampold</w:t>
      </w:r>
      <w:proofErr w:type="spellEnd"/>
      <w:r w:rsidRPr="00FB2D24">
        <w:rPr>
          <w:rFonts w:eastAsia="Times New Roman"/>
        </w:rPr>
        <w:t xml:space="preserve">, B. E., &amp; </w:t>
      </w:r>
      <w:proofErr w:type="spellStart"/>
      <w:r w:rsidRPr="00FB2D24">
        <w:rPr>
          <w:rFonts w:eastAsia="Times New Roman"/>
        </w:rPr>
        <w:t>Flückiger</w:t>
      </w:r>
      <w:proofErr w:type="spellEnd"/>
      <w:r w:rsidRPr="00FB2D24">
        <w:rPr>
          <w:rFonts w:eastAsia="Times New Roman"/>
        </w:rPr>
        <w:t xml:space="preserve">, C. (2023). The alliance in mental health care: Conceptualization, evidence and clinical applications. </w:t>
      </w:r>
      <w:r w:rsidRPr="00FB2D24">
        <w:rPr>
          <w:rFonts w:eastAsia="Times New Roman"/>
          <w:i/>
          <w:iCs/>
        </w:rPr>
        <w:t>World Psychiatry</w:t>
      </w:r>
      <w:r w:rsidRPr="00FB2D24">
        <w:rPr>
          <w:rFonts w:eastAsia="Times New Roman"/>
        </w:rPr>
        <w:t xml:space="preserve">, </w:t>
      </w:r>
      <w:r w:rsidRPr="00FB2D24">
        <w:rPr>
          <w:rFonts w:eastAsia="Times New Roman"/>
          <w:i/>
          <w:iCs/>
        </w:rPr>
        <w:t>22</w:t>
      </w:r>
      <w:r w:rsidRPr="00FB2D24">
        <w:rPr>
          <w:rFonts w:eastAsia="Times New Roman"/>
        </w:rPr>
        <w:t xml:space="preserve">(1), 25-41. </w:t>
      </w:r>
      <w:hyperlink r:id="rId9" w:history="1">
        <w:r w:rsidRPr="005242FE">
          <w:rPr>
            <w:rStyle w:val="Hyperlink"/>
            <w:rFonts w:eastAsia="Times New Roman"/>
          </w:rPr>
          <w:t>https://doi.org/10.1002/wps.21035</w:t>
        </w:r>
      </w:hyperlink>
      <w:r>
        <w:rPr>
          <w:rFonts w:eastAsia="Times New Roman"/>
        </w:rPr>
        <w:t xml:space="preserve"> </w:t>
      </w:r>
    </w:p>
    <w:sectPr w:rsidR="00E71E31">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3F1" w:rsidRDefault="00B273F1" w:rsidP="00E71E31">
      <w:pPr>
        <w:spacing w:line="240" w:lineRule="auto"/>
      </w:pPr>
      <w:r>
        <w:separator/>
      </w:r>
    </w:p>
  </w:endnote>
  <w:endnote w:type="continuationSeparator" w:id="0">
    <w:p w:rsidR="00B273F1" w:rsidRDefault="00B273F1" w:rsidP="00E71E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3F1" w:rsidRDefault="00B273F1" w:rsidP="00E71E31">
      <w:pPr>
        <w:spacing w:line="240" w:lineRule="auto"/>
      </w:pPr>
      <w:r>
        <w:separator/>
      </w:r>
    </w:p>
  </w:footnote>
  <w:footnote w:type="continuationSeparator" w:id="0">
    <w:p w:rsidR="00B273F1" w:rsidRDefault="00B273F1" w:rsidP="00E71E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E31" w:rsidRDefault="00E71E31">
    <w:pPr>
      <w:pStyle w:val="Header"/>
    </w:pPr>
    <w:r>
      <w:tab/>
    </w:r>
    <w:r>
      <w:tab/>
    </w:r>
    <w:r>
      <w:fldChar w:fldCharType="begin"/>
    </w:r>
    <w:r>
      <w:instrText xml:space="preserve"> PAGE   \* MERGEFORMAT </w:instrText>
    </w:r>
    <w:r>
      <w:fldChar w:fldCharType="separate"/>
    </w:r>
    <w:r w:rsidR="00BF0EE5">
      <w:rPr>
        <w:noProof/>
      </w:rPr>
      <w:t>4</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107"/>
    <w:rsid w:val="00151BE5"/>
    <w:rsid w:val="001537F9"/>
    <w:rsid w:val="001F7B83"/>
    <w:rsid w:val="00281C90"/>
    <w:rsid w:val="004A1CED"/>
    <w:rsid w:val="006508E2"/>
    <w:rsid w:val="0072226F"/>
    <w:rsid w:val="00741395"/>
    <w:rsid w:val="0079586A"/>
    <w:rsid w:val="007D3E4C"/>
    <w:rsid w:val="007F7025"/>
    <w:rsid w:val="00813C64"/>
    <w:rsid w:val="008A0107"/>
    <w:rsid w:val="008B51E1"/>
    <w:rsid w:val="009D1581"/>
    <w:rsid w:val="00A631F1"/>
    <w:rsid w:val="00A67188"/>
    <w:rsid w:val="00B01D0E"/>
    <w:rsid w:val="00B273F1"/>
    <w:rsid w:val="00B3774A"/>
    <w:rsid w:val="00BC041C"/>
    <w:rsid w:val="00BF0EE5"/>
    <w:rsid w:val="00C44E86"/>
    <w:rsid w:val="00DC7994"/>
    <w:rsid w:val="00E02CC3"/>
    <w:rsid w:val="00E71E31"/>
    <w:rsid w:val="00EB7461"/>
    <w:rsid w:val="00ED0149"/>
    <w:rsid w:val="00F95D16"/>
    <w:rsid w:val="00FB2D24"/>
    <w:rsid w:val="00FB6ABF"/>
    <w:rsid w:val="00FC0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92CBA"/>
  <w15:chartTrackingRefBased/>
  <w15:docId w15:val="{50C9C55C-D3E8-46A3-9F09-F17A946D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1CED"/>
    <w:rPr>
      <w:color w:val="0563C1" w:themeColor="hyperlink"/>
      <w:u w:val="single"/>
    </w:rPr>
  </w:style>
  <w:style w:type="paragraph" w:styleId="Header">
    <w:name w:val="header"/>
    <w:basedOn w:val="Normal"/>
    <w:link w:val="HeaderChar"/>
    <w:uiPriority w:val="99"/>
    <w:unhideWhenUsed/>
    <w:rsid w:val="00E71E31"/>
    <w:pPr>
      <w:tabs>
        <w:tab w:val="center" w:pos="4680"/>
        <w:tab w:val="right" w:pos="9360"/>
      </w:tabs>
      <w:spacing w:line="240" w:lineRule="auto"/>
    </w:pPr>
  </w:style>
  <w:style w:type="character" w:customStyle="1" w:styleId="HeaderChar">
    <w:name w:val="Header Char"/>
    <w:basedOn w:val="DefaultParagraphFont"/>
    <w:link w:val="Header"/>
    <w:uiPriority w:val="99"/>
    <w:rsid w:val="00E71E31"/>
  </w:style>
  <w:style w:type="paragraph" w:styleId="Footer">
    <w:name w:val="footer"/>
    <w:basedOn w:val="Normal"/>
    <w:link w:val="FooterChar"/>
    <w:uiPriority w:val="99"/>
    <w:unhideWhenUsed/>
    <w:rsid w:val="00E71E31"/>
    <w:pPr>
      <w:tabs>
        <w:tab w:val="center" w:pos="4680"/>
        <w:tab w:val="right" w:pos="9360"/>
      </w:tabs>
      <w:spacing w:line="240" w:lineRule="auto"/>
    </w:pPr>
  </w:style>
  <w:style w:type="character" w:customStyle="1" w:styleId="FooterChar">
    <w:name w:val="Footer Char"/>
    <w:basedOn w:val="DefaultParagraphFont"/>
    <w:link w:val="Footer"/>
    <w:uiPriority w:val="99"/>
    <w:rsid w:val="00E71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182385">
      <w:bodyDiv w:val="1"/>
      <w:marLeft w:val="0"/>
      <w:marRight w:val="0"/>
      <w:marTop w:val="0"/>
      <w:marBottom w:val="0"/>
      <w:divBdr>
        <w:top w:val="none" w:sz="0" w:space="0" w:color="auto"/>
        <w:left w:val="none" w:sz="0" w:space="0" w:color="auto"/>
        <w:bottom w:val="none" w:sz="0" w:space="0" w:color="auto"/>
        <w:right w:val="none" w:sz="0" w:space="0" w:color="auto"/>
      </w:divBdr>
      <w:divsChild>
        <w:div w:id="810366460">
          <w:marLeft w:val="0"/>
          <w:marRight w:val="0"/>
          <w:marTop w:val="0"/>
          <w:marBottom w:val="0"/>
          <w:divBdr>
            <w:top w:val="none" w:sz="0" w:space="0" w:color="auto"/>
            <w:left w:val="none" w:sz="0" w:space="0" w:color="auto"/>
            <w:bottom w:val="none" w:sz="0" w:space="0" w:color="auto"/>
            <w:right w:val="none" w:sz="0" w:space="0" w:color="auto"/>
          </w:divBdr>
        </w:div>
      </w:divsChild>
    </w:div>
    <w:div w:id="726732038">
      <w:bodyDiv w:val="1"/>
      <w:marLeft w:val="0"/>
      <w:marRight w:val="0"/>
      <w:marTop w:val="0"/>
      <w:marBottom w:val="0"/>
      <w:divBdr>
        <w:top w:val="none" w:sz="0" w:space="0" w:color="auto"/>
        <w:left w:val="none" w:sz="0" w:space="0" w:color="auto"/>
        <w:bottom w:val="none" w:sz="0" w:space="0" w:color="auto"/>
        <w:right w:val="none" w:sz="0" w:space="0" w:color="auto"/>
      </w:divBdr>
      <w:divsChild>
        <w:div w:id="1732801475">
          <w:marLeft w:val="0"/>
          <w:marRight w:val="0"/>
          <w:marTop w:val="0"/>
          <w:marBottom w:val="0"/>
          <w:divBdr>
            <w:top w:val="none" w:sz="0" w:space="0" w:color="auto"/>
            <w:left w:val="none" w:sz="0" w:space="0" w:color="auto"/>
            <w:bottom w:val="none" w:sz="0" w:space="0" w:color="auto"/>
            <w:right w:val="none" w:sz="0" w:space="0" w:color="auto"/>
          </w:divBdr>
        </w:div>
      </w:divsChild>
    </w:div>
    <w:div w:id="760757492">
      <w:bodyDiv w:val="1"/>
      <w:marLeft w:val="0"/>
      <w:marRight w:val="0"/>
      <w:marTop w:val="0"/>
      <w:marBottom w:val="0"/>
      <w:divBdr>
        <w:top w:val="none" w:sz="0" w:space="0" w:color="auto"/>
        <w:left w:val="none" w:sz="0" w:space="0" w:color="auto"/>
        <w:bottom w:val="none" w:sz="0" w:space="0" w:color="auto"/>
        <w:right w:val="none" w:sz="0" w:space="0" w:color="auto"/>
      </w:divBdr>
      <w:divsChild>
        <w:div w:id="1826431546">
          <w:marLeft w:val="0"/>
          <w:marRight w:val="0"/>
          <w:marTop w:val="0"/>
          <w:marBottom w:val="0"/>
          <w:divBdr>
            <w:top w:val="none" w:sz="0" w:space="0" w:color="auto"/>
            <w:left w:val="none" w:sz="0" w:space="0" w:color="auto"/>
            <w:bottom w:val="none" w:sz="0" w:space="0" w:color="auto"/>
            <w:right w:val="none" w:sz="0" w:space="0" w:color="auto"/>
          </w:divBdr>
        </w:div>
      </w:divsChild>
    </w:div>
    <w:div w:id="1229611882">
      <w:bodyDiv w:val="1"/>
      <w:marLeft w:val="0"/>
      <w:marRight w:val="0"/>
      <w:marTop w:val="0"/>
      <w:marBottom w:val="0"/>
      <w:divBdr>
        <w:top w:val="none" w:sz="0" w:space="0" w:color="auto"/>
        <w:left w:val="none" w:sz="0" w:space="0" w:color="auto"/>
        <w:bottom w:val="none" w:sz="0" w:space="0" w:color="auto"/>
        <w:right w:val="none" w:sz="0" w:space="0" w:color="auto"/>
      </w:divBdr>
      <w:divsChild>
        <w:div w:id="2130465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psychiatry.IndianJPsychiatry_780_19" TargetMode="External"/><Relationship Id="rId3" Type="http://schemas.openxmlformats.org/officeDocument/2006/relationships/webSettings" Target="webSettings.xml"/><Relationship Id="rId7" Type="http://schemas.openxmlformats.org/officeDocument/2006/relationships/hyperlink" Target="https://doi.org/10.1186/s12888-018-1724-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147/PPA.S37895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02/wps.21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2023-12-01T02:22:00Z</dcterms:created>
  <dcterms:modified xsi:type="dcterms:W3CDTF">2023-12-01T03:19:00Z</dcterms:modified>
</cp:coreProperties>
</file>