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2E7D90" w:rsidRPr="001B0357" w:rsidRDefault="002E7D90" w:rsidP="001B0357">
      <w:pPr>
        <w:spacing w:after="0" w:line="480" w:lineRule="auto"/>
        <w:jc w:val="center"/>
        <w:rPr>
          <w:rFonts w:ascii="Times New Roman" w:hAnsi="Times New Roman" w:cs="Times New Roman"/>
          <w:b/>
          <w:sz w:val="24"/>
          <w:szCs w:val="24"/>
        </w:rPr>
      </w:pPr>
      <w:r w:rsidRPr="001B0357">
        <w:rPr>
          <w:rFonts w:ascii="Times New Roman" w:hAnsi="Times New Roman" w:cs="Times New Roman"/>
          <w:b/>
          <w:sz w:val="24"/>
          <w:szCs w:val="24"/>
        </w:rPr>
        <w:t>Week 15 Assignment 1: Current Trends and Topics</w:t>
      </w:r>
    </w:p>
    <w:p w:rsidR="001B0357" w:rsidRDefault="001B0357" w:rsidP="001B0357">
      <w:pPr>
        <w:spacing w:after="0" w:line="480" w:lineRule="auto"/>
        <w:jc w:val="center"/>
        <w:rPr>
          <w:rFonts w:ascii="Times New Roman" w:hAnsi="Times New Roman" w:cs="Times New Roman"/>
          <w:sz w:val="24"/>
          <w:szCs w:val="24"/>
        </w:rPr>
      </w:pPr>
    </w:p>
    <w:p w:rsidR="00C125A6" w:rsidRPr="001B0357" w:rsidRDefault="00C125A6" w:rsidP="001B0357">
      <w:pPr>
        <w:spacing w:after="0" w:line="480" w:lineRule="auto"/>
        <w:jc w:val="center"/>
        <w:rPr>
          <w:rFonts w:ascii="Times New Roman" w:hAnsi="Times New Roman" w:cs="Times New Roman"/>
          <w:sz w:val="24"/>
          <w:szCs w:val="24"/>
        </w:rPr>
      </w:pPr>
      <w:r w:rsidRPr="001B0357">
        <w:rPr>
          <w:rFonts w:ascii="Times New Roman" w:hAnsi="Times New Roman" w:cs="Times New Roman"/>
          <w:sz w:val="24"/>
          <w:szCs w:val="24"/>
        </w:rPr>
        <w:t>Name:</w:t>
      </w:r>
    </w:p>
    <w:p w:rsidR="00C125A6" w:rsidRPr="001B0357" w:rsidRDefault="00C125A6" w:rsidP="001B0357">
      <w:pPr>
        <w:spacing w:after="0" w:line="480" w:lineRule="auto"/>
        <w:jc w:val="center"/>
        <w:rPr>
          <w:rFonts w:ascii="Times New Roman" w:hAnsi="Times New Roman" w:cs="Times New Roman"/>
          <w:sz w:val="24"/>
          <w:szCs w:val="24"/>
        </w:rPr>
      </w:pPr>
      <w:r w:rsidRPr="001B0357">
        <w:rPr>
          <w:rFonts w:ascii="Times New Roman" w:hAnsi="Times New Roman" w:cs="Times New Roman"/>
          <w:sz w:val="24"/>
          <w:szCs w:val="24"/>
        </w:rPr>
        <w:t>Institution:</w:t>
      </w:r>
    </w:p>
    <w:p w:rsidR="00C125A6" w:rsidRPr="001B0357" w:rsidRDefault="00C125A6" w:rsidP="001B0357">
      <w:pPr>
        <w:spacing w:after="0" w:line="480" w:lineRule="auto"/>
        <w:jc w:val="center"/>
        <w:rPr>
          <w:rFonts w:ascii="Times New Roman" w:hAnsi="Times New Roman" w:cs="Times New Roman"/>
          <w:sz w:val="24"/>
          <w:szCs w:val="24"/>
        </w:rPr>
      </w:pPr>
      <w:r w:rsidRPr="001B0357">
        <w:rPr>
          <w:rFonts w:ascii="Times New Roman" w:hAnsi="Times New Roman" w:cs="Times New Roman"/>
          <w:sz w:val="24"/>
          <w:szCs w:val="24"/>
        </w:rPr>
        <w:t>Course:</w:t>
      </w:r>
    </w:p>
    <w:p w:rsidR="00C125A6" w:rsidRPr="001B0357" w:rsidRDefault="00C125A6" w:rsidP="001B0357">
      <w:pPr>
        <w:spacing w:after="0" w:line="480" w:lineRule="auto"/>
        <w:jc w:val="center"/>
        <w:rPr>
          <w:rFonts w:ascii="Times New Roman" w:hAnsi="Times New Roman" w:cs="Times New Roman"/>
          <w:sz w:val="24"/>
          <w:szCs w:val="24"/>
        </w:rPr>
      </w:pPr>
      <w:r w:rsidRPr="001B0357">
        <w:rPr>
          <w:rFonts w:ascii="Times New Roman" w:hAnsi="Times New Roman" w:cs="Times New Roman"/>
          <w:sz w:val="24"/>
          <w:szCs w:val="24"/>
        </w:rPr>
        <w:t>Date:</w:t>
      </w:r>
    </w:p>
    <w:p w:rsidR="00C125A6" w:rsidRPr="001B0357" w:rsidRDefault="00C125A6" w:rsidP="001B0357">
      <w:pPr>
        <w:spacing w:after="0" w:line="480" w:lineRule="auto"/>
        <w:rPr>
          <w:rFonts w:ascii="Times New Roman" w:hAnsi="Times New Roman" w:cs="Times New Roman"/>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1B0357" w:rsidRDefault="001B0357" w:rsidP="001B0357">
      <w:pPr>
        <w:spacing w:after="0" w:line="480" w:lineRule="auto"/>
        <w:jc w:val="center"/>
        <w:rPr>
          <w:rFonts w:ascii="Times New Roman" w:hAnsi="Times New Roman" w:cs="Times New Roman"/>
          <w:b/>
          <w:sz w:val="24"/>
          <w:szCs w:val="24"/>
        </w:rPr>
      </w:pPr>
    </w:p>
    <w:p w:rsidR="00FE33DD" w:rsidRPr="001B0357" w:rsidRDefault="00FE33DD" w:rsidP="001B0357">
      <w:pPr>
        <w:spacing w:after="0" w:line="480" w:lineRule="auto"/>
        <w:jc w:val="center"/>
        <w:rPr>
          <w:rFonts w:ascii="Times New Roman" w:hAnsi="Times New Roman" w:cs="Times New Roman"/>
          <w:b/>
          <w:sz w:val="24"/>
          <w:szCs w:val="24"/>
        </w:rPr>
      </w:pPr>
      <w:bookmarkStart w:id="0" w:name="_GoBack"/>
      <w:bookmarkEnd w:id="0"/>
      <w:r w:rsidRPr="001B0357">
        <w:rPr>
          <w:rFonts w:ascii="Times New Roman" w:hAnsi="Times New Roman" w:cs="Times New Roman"/>
          <w:b/>
          <w:sz w:val="24"/>
          <w:szCs w:val="24"/>
        </w:rPr>
        <w:lastRenderedPageBreak/>
        <w:t>Telepsychiatry</w:t>
      </w:r>
    </w:p>
    <w:p w:rsidR="008B1254" w:rsidRPr="001B0357" w:rsidRDefault="008B1254" w:rsidP="001B0357">
      <w:pPr>
        <w:pStyle w:val="NormalWeb"/>
        <w:spacing w:before="0" w:beforeAutospacing="0" w:after="0" w:afterAutospacing="0" w:line="480" w:lineRule="auto"/>
        <w:ind w:firstLine="720"/>
      </w:pPr>
      <w:r w:rsidRPr="001B0357">
        <w:t xml:space="preserve">Telepsychiatry, the provision of psychiatric care through telecommunication technology, has emerged as a valuable tool in making mental healthcare more accessible and affordable for patients. </w:t>
      </w:r>
      <w:r w:rsidRPr="001B0357">
        <w:t>Telepsychiatry a</w:t>
      </w:r>
      <w:r w:rsidR="001B0357" w:rsidRPr="001B0357">
        <w:t>ddresses</w:t>
      </w:r>
      <w:r w:rsidR="00D90B2C" w:rsidRPr="001B0357">
        <w:t xml:space="preserve"> the barrier to accessing care services by facilitating the transition from hospital-based care to community-based care models (</w:t>
      </w:r>
      <w:r w:rsidR="00D90B2C" w:rsidRPr="001B0357">
        <w:t>Li et al., 2021</w:t>
      </w:r>
      <w:r w:rsidR="00D90B2C" w:rsidRPr="001B0357">
        <w:t xml:space="preserve">). The use of telepsychiatry also helps in addressing the cost-related challenges that undermine </w:t>
      </w:r>
      <w:r w:rsidR="001B0357" w:rsidRPr="001B0357">
        <w:t xml:space="preserve">the </w:t>
      </w:r>
      <w:r w:rsidR="00D90B2C" w:rsidRPr="001B0357">
        <w:t xml:space="preserve">effective use of psychiatric services in addressing diverse mental health conditions. </w:t>
      </w:r>
      <w:r w:rsidRPr="001B0357">
        <w:t>However, it is crucial to consider the legal aspects of prescribing medication using telepsychiatry. Healthcare providers must be aware of the regulations and guidelines that govern this practice to ensure patient safety and compliance with the law. Additionally, logistical considerations play a significant role in implementing telepsychiatry successfully. Providers need to assess factors such as technology infrastructure</w:t>
      </w:r>
      <w:r w:rsidRPr="001B0357">
        <w:t>, in addition to the laws surrounding the prescription of controlled substance</w:t>
      </w:r>
      <w:r w:rsidR="001B0357" w:rsidRPr="001B0357">
        <w:t>s</w:t>
      </w:r>
      <w:r w:rsidRPr="001B0357">
        <w:t xml:space="preserve"> over telepsychiatry platforms. </w:t>
      </w:r>
    </w:p>
    <w:p w:rsidR="00143188" w:rsidRPr="001B0357" w:rsidRDefault="00A60B2E" w:rsidP="001B0357">
      <w:pPr>
        <w:pStyle w:val="NormalWeb"/>
        <w:spacing w:before="0" w:beforeAutospacing="0" w:after="0" w:afterAutospacing="0" w:line="480" w:lineRule="auto"/>
        <w:ind w:firstLine="720"/>
      </w:pPr>
      <w:r w:rsidRPr="001B0357">
        <w:t xml:space="preserve">Telepsychiatry is a rapidly growing field in Massachusetts, with the state recognizing its potential to improve access to mental healthcare. The current policies in Massachusetts aim to regulate and support telepsychiatry services by </w:t>
      </w:r>
      <w:r w:rsidRPr="001B0357">
        <w:t xml:space="preserve">recognizing telehealth as a comprehensive approach to providing care services. </w:t>
      </w:r>
      <w:r w:rsidR="004B0018" w:rsidRPr="001B0357">
        <w:t xml:space="preserve">The recently signed act by </w:t>
      </w:r>
      <w:r w:rsidR="004B0018" w:rsidRPr="001B0357">
        <w:t>Governor Charlie Baker</w:t>
      </w:r>
      <w:r w:rsidR="004B0018" w:rsidRPr="001B0357">
        <w:t xml:space="preserve"> introduced changes </w:t>
      </w:r>
      <w:r w:rsidR="001B0357" w:rsidRPr="001B0357">
        <w:t xml:space="preserve">to </w:t>
      </w:r>
      <w:r w:rsidR="004B0018" w:rsidRPr="001B0357">
        <w:t xml:space="preserve">the comprehensive healthcare bill relating to the telehealth law. </w:t>
      </w:r>
      <w:r w:rsidR="00FC455A" w:rsidRPr="001B0357">
        <w:t>The act introduced section 50 under the laws on physician professional regulation telehealth to establish that telehealth can be utilized in evaluating, consulting, diagnosing, prescribing, monitoring, and treating mental health conditions</w:t>
      </w:r>
      <w:r w:rsidR="001B0357" w:rsidRPr="001B0357">
        <w:t>,</w:t>
      </w:r>
      <w:r w:rsidR="00FC455A" w:rsidRPr="001B0357">
        <w:t xml:space="preserve"> including substance abuse disorders (</w:t>
      </w:r>
      <w:r w:rsidR="002F2AE2" w:rsidRPr="001B0357">
        <w:t>Massachusetts Medical Society, 202</w:t>
      </w:r>
      <w:r w:rsidR="002F2AE2" w:rsidRPr="001B0357">
        <w:t>3</w:t>
      </w:r>
      <w:r w:rsidR="00FC455A" w:rsidRPr="001B0357">
        <w:t xml:space="preserve">). </w:t>
      </w:r>
      <w:r w:rsidR="00C9480B" w:rsidRPr="001B0357">
        <w:t>Massachusetts</w:t>
      </w:r>
      <w:r w:rsidR="007B727B" w:rsidRPr="001B0357">
        <w:t xml:space="preserve"> has also differentiated between telehealth and telemedicine by identifying telemedicine as </w:t>
      </w:r>
      <w:r w:rsidR="001B0357" w:rsidRPr="001B0357">
        <w:t>"</w:t>
      </w:r>
      <w:r w:rsidR="007B727B" w:rsidRPr="001B0357">
        <w:t xml:space="preserve">the provision of services to a patient by a physician from a distance </w:t>
      </w:r>
      <w:r w:rsidR="007B727B" w:rsidRPr="001B0357">
        <w:lastRenderedPageBreak/>
        <w:t>by electronic communication to improve patient care, treatment or services (</w:t>
      </w:r>
      <w:r w:rsidR="002F2AE2" w:rsidRPr="001B0357">
        <w:t>Massachusetts Medical Society, 202</w:t>
      </w:r>
      <w:r w:rsidR="002F2AE2" w:rsidRPr="001B0357">
        <w:t>3</w:t>
      </w:r>
      <w:r w:rsidR="007B727B" w:rsidRPr="001B0357">
        <w:t>).</w:t>
      </w:r>
      <w:r w:rsidR="001B0357" w:rsidRPr="001B0357">
        <w:t>"</w:t>
      </w:r>
      <w:r w:rsidR="005B06DB" w:rsidRPr="001B0357">
        <w:t xml:space="preserve"> The board also requires </w:t>
      </w:r>
      <w:r w:rsidR="001B0357" w:rsidRPr="001B0357">
        <w:t>initiating</w:t>
      </w:r>
      <w:r w:rsidR="005B06DB" w:rsidRPr="001B0357">
        <w:t xml:space="preserve"> </w:t>
      </w:r>
      <w:r w:rsidR="001B0357" w:rsidRPr="001B0357">
        <w:t xml:space="preserve">a </w:t>
      </w:r>
      <w:r w:rsidR="005B06DB" w:rsidRPr="001B0357">
        <w:t xml:space="preserve">physician-patient relationship via telehealth without an in-person examination and the need for face-to-face encounters </w:t>
      </w:r>
      <w:r w:rsidR="001B0357" w:rsidRPr="001B0357">
        <w:t>to deliver</w:t>
      </w:r>
      <w:r w:rsidR="005B06DB" w:rsidRPr="001B0357">
        <w:t xml:space="preserve"> care services</w:t>
      </w:r>
      <w:r w:rsidR="002F2AE2" w:rsidRPr="001B0357">
        <w:t xml:space="preserve"> (</w:t>
      </w:r>
      <w:r w:rsidR="002F2AE2" w:rsidRPr="001B0357">
        <w:t>Massachusetts Medical Society, 202</w:t>
      </w:r>
      <w:r w:rsidR="002F2AE2" w:rsidRPr="001B0357">
        <w:t>3)</w:t>
      </w:r>
      <w:r w:rsidR="005B06DB" w:rsidRPr="001B0357">
        <w:t xml:space="preserve">. </w:t>
      </w:r>
      <w:r w:rsidR="00143188" w:rsidRPr="001B0357">
        <w:t xml:space="preserve">The law also requires the physician to maintain clinical standards and uphold the </w:t>
      </w:r>
      <w:r w:rsidR="001B0357" w:rsidRPr="001B0357">
        <w:t>professional accountability necessar</w:t>
      </w:r>
      <w:r w:rsidR="00143188" w:rsidRPr="001B0357">
        <w:t>y as provided under the prescribing practice</w:t>
      </w:r>
      <w:r w:rsidR="001B0357" w:rsidRPr="001B0357">
        <w:t>'</w:t>
      </w:r>
      <w:r w:rsidR="00143188" w:rsidRPr="001B0357">
        <w:t>s policy and guidelines.</w:t>
      </w:r>
    </w:p>
    <w:p w:rsidR="00A60B2E" w:rsidRPr="001B0357" w:rsidRDefault="00143188" w:rsidP="001B0357">
      <w:pPr>
        <w:pStyle w:val="NormalWeb"/>
        <w:spacing w:before="0" w:beforeAutospacing="0" w:after="0" w:afterAutospacing="0" w:line="480" w:lineRule="auto"/>
        <w:ind w:firstLine="720"/>
      </w:pPr>
      <w:r w:rsidRPr="001B0357">
        <w:t xml:space="preserve">In utilizing telehealth, the internet prescribing policy </w:t>
      </w:r>
      <w:r w:rsidR="00F63216" w:rsidRPr="001B0357">
        <w:t>require</w:t>
      </w:r>
      <w:r w:rsidR="001B0357" w:rsidRPr="001B0357">
        <w:t>s</w:t>
      </w:r>
      <w:r w:rsidR="00F63216" w:rsidRPr="001B0357">
        <w:t xml:space="preserve"> </w:t>
      </w:r>
      <w:r w:rsidR="001B0357" w:rsidRPr="001B0357">
        <w:t>establishing</w:t>
      </w:r>
      <w:r w:rsidR="00F63216" w:rsidRPr="001B0357">
        <w:t xml:space="preserve"> a valid doctor-patient relationship that conforms to the provided standards of care and must ensure that prescriptions are provided for legitimate medical cases </w:t>
      </w:r>
      <w:r w:rsidR="00F63216" w:rsidRPr="001B0357">
        <w:t xml:space="preserve">as </w:t>
      </w:r>
      <w:r w:rsidR="00F63216" w:rsidRPr="001B0357">
        <w:t>specified</w:t>
      </w:r>
      <w:r w:rsidR="00F63216" w:rsidRPr="001B0357">
        <w:t xml:space="preserve"> under Massachusetts laws on prescribing controlled substances</w:t>
      </w:r>
      <w:r w:rsidR="002F2AE2" w:rsidRPr="001B0357">
        <w:t xml:space="preserve"> (</w:t>
      </w:r>
      <w:r w:rsidR="002F2AE2" w:rsidRPr="00707BA5">
        <w:t>Massachusetts</w:t>
      </w:r>
      <w:r w:rsidR="002F2AE2" w:rsidRPr="001B0357">
        <w:t>.gov, 2023)</w:t>
      </w:r>
      <w:r w:rsidR="00F63216" w:rsidRPr="001B0357">
        <w:t>.</w:t>
      </w:r>
      <w:r w:rsidR="00A60B2E" w:rsidRPr="001B0357">
        <w:t xml:space="preserve"> Additionally, the state has implemented reimbursement policies that allow for the coverage of telepsychiatry services, making it more accessible and affordable for patients. </w:t>
      </w:r>
      <w:r w:rsidR="00F63216" w:rsidRPr="001B0357">
        <w:t xml:space="preserve">Specifically, the state has </w:t>
      </w:r>
      <w:r w:rsidR="00707BA5" w:rsidRPr="001B0357">
        <w:t xml:space="preserve">developed different payment parity clauses </w:t>
      </w:r>
      <w:r w:rsidR="001B0357" w:rsidRPr="001B0357">
        <w:t>with</w:t>
      </w:r>
      <w:r w:rsidR="00707BA5" w:rsidRPr="001B0357">
        <w:t xml:space="preserve"> telehealth reimbursement</w:t>
      </w:r>
      <w:r w:rsidR="002F2AE2" w:rsidRPr="001B0357">
        <w:t xml:space="preserve"> (</w:t>
      </w:r>
      <w:r w:rsidR="002F2AE2" w:rsidRPr="00707BA5">
        <w:t>Massachusetts</w:t>
      </w:r>
      <w:r w:rsidR="002F2AE2" w:rsidRPr="001B0357">
        <w:t>.gov, 2023</w:t>
      </w:r>
      <w:r w:rsidR="002F2AE2" w:rsidRPr="001B0357">
        <w:t>)</w:t>
      </w:r>
      <w:r w:rsidR="00707BA5" w:rsidRPr="001B0357">
        <w:t xml:space="preserve">. As such, it is significant to note that the state of </w:t>
      </w:r>
      <w:r w:rsidR="00707BA5" w:rsidRPr="001B0357">
        <w:t>Massachusett</w:t>
      </w:r>
      <w:r w:rsidR="001B0357" w:rsidRPr="001B0357">
        <w:t>s'</w:t>
      </w:r>
      <w:r w:rsidR="00707BA5" w:rsidRPr="001B0357">
        <w:t xml:space="preserve">s </w:t>
      </w:r>
      <w:r w:rsidR="00707BA5" w:rsidRPr="001B0357">
        <w:t xml:space="preserve">telehealth </w:t>
      </w:r>
      <w:r w:rsidR="00707BA5" w:rsidRPr="001B0357">
        <w:t>laws</w:t>
      </w:r>
      <w:r w:rsidR="00707BA5" w:rsidRPr="001B0357">
        <w:t xml:space="preserve"> </w:t>
      </w:r>
      <w:proofErr w:type="gramStart"/>
      <w:r w:rsidR="00707BA5" w:rsidRPr="001B0357">
        <w:t>are</w:t>
      </w:r>
      <w:proofErr w:type="gramEnd"/>
      <w:r w:rsidR="00707BA5" w:rsidRPr="001B0357">
        <w:t xml:space="preserve"> directed towards enhancing its usage in addressing the barriers </w:t>
      </w:r>
      <w:r w:rsidR="001B0357" w:rsidRPr="001B0357">
        <w:t>to</w:t>
      </w:r>
      <w:r w:rsidR="00707BA5" w:rsidRPr="001B0357">
        <w:t xml:space="preserve"> access to mental health and substance use disorders. </w:t>
      </w:r>
    </w:p>
    <w:p w:rsidR="00B03AB2" w:rsidRPr="001B0357" w:rsidRDefault="00707BA5" w:rsidP="001B0357">
      <w:pPr>
        <w:pStyle w:val="NormalWeb"/>
        <w:spacing w:before="0" w:beforeAutospacing="0" w:after="0" w:afterAutospacing="0" w:line="480" w:lineRule="auto"/>
        <w:ind w:firstLine="720"/>
      </w:pPr>
      <w:r w:rsidRPr="00707BA5">
        <w:t xml:space="preserve">In Massachusetts, it is </w:t>
      </w:r>
      <w:r w:rsidR="001B0357" w:rsidRPr="001B0357">
        <w:t>essential</w:t>
      </w:r>
      <w:r w:rsidRPr="00707BA5">
        <w:t xml:space="preserve"> to consider the legal aspects surrounding prescribing medications through telepsychiatry. One key consideration is ensuring compliance with state laws and regulations regarding the practice of medicine, including the requirement for a valid physician-patient relationship. Additionally, providers must adhere to federal regulations such as those outlined by the Drug Enforcement Administration (DEA) when prescribing controlled substances remotely. </w:t>
      </w:r>
      <w:r w:rsidRPr="001B0357">
        <w:t xml:space="preserve">In writing the prescription, the care provider </w:t>
      </w:r>
      <w:r w:rsidR="001B0357" w:rsidRPr="001B0357">
        <w:t>must conceal the patient's name</w:t>
      </w:r>
      <w:r w:rsidRPr="001B0357">
        <w:t xml:space="preserve"> from the pharmacists by writing the ICD or DSM code for their diagnosis </w:t>
      </w:r>
      <w:r w:rsidRPr="001B0357">
        <w:lastRenderedPageBreak/>
        <w:t>(</w:t>
      </w:r>
      <w:r w:rsidR="00C125A6" w:rsidRPr="00707BA5">
        <w:t>Massachusetts</w:t>
      </w:r>
      <w:r w:rsidR="00C125A6" w:rsidRPr="001B0357">
        <w:t>.gov, 2023</w:t>
      </w:r>
      <w:r w:rsidRPr="001B0357">
        <w:t>). Although the assessment, diagnosis</w:t>
      </w:r>
      <w:r w:rsidR="001B0357" w:rsidRPr="001B0357">
        <w:t>,</w:t>
      </w:r>
      <w:r w:rsidRPr="001B0357">
        <w:t xml:space="preserve"> and prescriptions are provided remotely, the psychiatrist is obligated to professional discretion and held responsible </w:t>
      </w:r>
      <w:r w:rsidR="001B0357" w:rsidRPr="001B0357">
        <w:t>for</w:t>
      </w:r>
      <w:r w:rsidR="00807E97" w:rsidRPr="001B0357">
        <w:t xml:space="preserve"> </w:t>
      </w:r>
      <w:proofErr w:type="gramStart"/>
      <w:r w:rsidR="00807E97" w:rsidRPr="001B0357">
        <w:t>similar to</w:t>
      </w:r>
      <w:proofErr w:type="gramEnd"/>
      <w:r w:rsidR="00807E97" w:rsidRPr="001B0357">
        <w:t xml:space="preserve"> the in-person situation. </w:t>
      </w:r>
      <w:r w:rsidR="00DC269C" w:rsidRPr="001B0357">
        <w:t xml:space="preserve">Care providers are also obligated to </w:t>
      </w:r>
      <w:r w:rsidR="00E91E70" w:rsidRPr="001B0357">
        <w:t>assess the need for emergency care and uphold professional discretion, ethics, legal requirements</w:t>
      </w:r>
      <w:r w:rsidR="001B0357" w:rsidRPr="001B0357">
        <w:t>,</w:t>
      </w:r>
      <w:r w:rsidR="00E91E70" w:rsidRPr="001B0357">
        <w:t xml:space="preserve"> and quality of care</w:t>
      </w:r>
      <w:r w:rsidR="001B0357" w:rsidRPr="001B0357">
        <w:t>,</w:t>
      </w:r>
      <w:r w:rsidR="00E91E70" w:rsidRPr="001B0357">
        <w:t xml:space="preserve"> just like in-person care interactions (</w:t>
      </w:r>
      <w:r w:rsidR="00C125A6" w:rsidRPr="00707BA5">
        <w:t>Massachusetts</w:t>
      </w:r>
      <w:r w:rsidR="00C125A6" w:rsidRPr="001B0357">
        <w:t>.gov, 2023</w:t>
      </w:r>
      <w:r w:rsidR="00E91E70" w:rsidRPr="001B0357">
        <w:t xml:space="preserve">). </w:t>
      </w:r>
      <w:r w:rsidR="001B0357" w:rsidRPr="001B0357">
        <w:t>The care providers must</w:t>
      </w:r>
      <w:r w:rsidR="004E3C60" w:rsidRPr="001B0357">
        <w:t xml:space="preserve"> assess the patient</w:t>
      </w:r>
      <w:r w:rsidR="001B0357" w:rsidRPr="001B0357">
        <w:t>'s</w:t>
      </w:r>
      <w:r w:rsidR="004E3C60" w:rsidRPr="001B0357">
        <w:t xml:space="preserve"> ability to engage and use telehealth, </w:t>
      </w:r>
      <w:r w:rsidR="001B0357" w:rsidRPr="001B0357">
        <w:t>document all communications, and make appropriate referrals</w:t>
      </w:r>
      <w:r w:rsidR="00B03AB2" w:rsidRPr="001B0357">
        <w:t xml:space="preserve">. </w:t>
      </w:r>
      <w:r w:rsidR="001B0357" w:rsidRPr="001B0357">
        <w:t>Telepsychiatry providers in Massachusetts must</w:t>
      </w:r>
      <w:r w:rsidRPr="00707BA5">
        <w:t xml:space="preserve"> stay informed about these legal requirements and maintain proper documentation to ensure </w:t>
      </w:r>
      <w:r w:rsidR="001B0357" w:rsidRPr="001B0357">
        <w:t xml:space="preserve">the </w:t>
      </w:r>
      <w:r w:rsidRPr="00707BA5">
        <w:t xml:space="preserve">safe </w:t>
      </w:r>
      <w:r w:rsidR="00B03AB2" w:rsidRPr="001B0357">
        <w:t xml:space="preserve">delivery of psychiatric care services. </w:t>
      </w:r>
    </w:p>
    <w:p w:rsidR="00A43003" w:rsidRPr="001B0357" w:rsidRDefault="00B03AB2" w:rsidP="001B0357">
      <w:pPr>
        <w:pStyle w:val="NormalWeb"/>
        <w:spacing w:before="0" w:beforeAutospacing="0" w:after="0" w:afterAutospacing="0" w:line="480" w:lineRule="auto"/>
        <w:ind w:firstLine="720"/>
      </w:pPr>
      <w:r w:rsidRPr="001B0357">
        <w:t xml:space="preserve">Before beginning telepsychiatry, providers should consider </w:t>
      </w:r>
      <w:r w:rsidR="00965BC2" w:rsidRPr="001B0357">
        <w:t xml:space="preserve">logistical factors to enhance the </w:t>
      </w:r>
      <w:r w:rsidR="001B0357" w:rsidRPr="001B0357">
        <w:t>practice's success</w:t>
      </w:r>
      <w:r w:rsidR="00965BC2" w:rsidRPr="001B0357">
        <w:t xml:space="preserve">. To begin with, it is necessary to consider the </w:t>
      </w:r>
      <w:r w:rsidRPr="001B0357">
        <w:t xml:space="preserve">technological infrastructure required for secure and reliable video conferencing. They </w:t>
      </w:r>
      <w:r w:rsidR="001B0357" w:rsidRPr="001B0357">
        <w:t>must</w:t>
      </w:r>
      <w:r w:rsidRPr="001B0357">
        <w:t xml:space="preserve"> ensure access to a stable internet connection and appropriate software or platforms that comply with privacy regulations such as the Health Insurance Portability and Accountability Act (HIPAA)</w:t>
      </w:r>
      <w:r w:rsidR="00CA6863" w:rsidRPr="001B0357">
        <w:t xml:space="preserve"> (APNA, 2023)</w:t>
      </w:r>
      <w:r w:rsidRPr="001B0357">
        <w:t xml:space="preserve">. </w:t>
      </w:r>
      <w:r w:rsidR="001B0357" w:rsidRPr="001B0357">
        <w:t>Providers should also assess their</w:t>
      </w:r>
      <w:r w:rsidRPr="001B0357">
        <w:t xml:space="preserve"> comfort level and competency in delivering care remotely, as well as consider any potential limitations or challenges in conducting thorough assessments and providing necessary follow-up care without physical presence.</w:t>
      </w:r>
      <w:r w:rsidR="00965BC2" w:rsidRPr="001B0357">
        <w:t xml:space="preserve"> It is also significant to consider the strategic planning assessing the different facets of healthcare needs </w:t>
      </w:r>
      <w:r w:rsidR="001B0357" w:rsidRPr="001B0357">
        <w:t>before engaging in telepsychiatry, as this substantially impacts</w:t>
      </w:r>
      <w:r w:rsidR="00965BC2" w:rsidRPr="001B0357">
        <w:t xml:space="preserve"> the success of the </w:t>
      </w:r>
      <w:r w:rsidR="00A823CF" w:rsidRPr="001B0357">
        <w:t xml:space="preserve">practice. The provider is also expected to obtain </w:t>
      </w:r>
      <w:r w:rsidR="00A823CF" w:rsidRPr="001B0357">
        <w:t xml:space="preserve">a Business Associate Agreement (BAA) signed by all entities who may </w:t>
      </w:r>
      <w:proofErr w:type="gramStart"/>
      <w:r w:rsidR="00A823CF" w:rsidRPr="001B0357">
        <w:t>come into contact with</w:t>
      </w:r>
      <w:proofErr w:type="gramEnd"/>
      <w:r w:rsidR="00A823CF" w:rsidRPr="001B0357">
        <w:t xml:space="preserve"> patient health information</w:t>
      </w:r>
      <w:r w:rsidR="00A823CF" w:rsidRPr="001B0357">
        <w:t xml:space="preserve"> (</w:t>
      </w:r>
      <w:r w:rsidR="00CA6863" w:rsidRPr="001B0357">
        <w:t>APNA, 2023</w:t>
      </w:r>
      <w:r w:rsidR="00A823CF" w:rsidRPr="001B0357">
        <w:t xml:space="preserve">). </w:t>
      </w:r>
      <w:r w:rsidR="00C305FD" w:rsidRPr="001B0357">
        <w:t xml:space="preserve">It is also </w:t>
      </w:r>
      <w:r w:rsidR="001B0357" w:rsidRPr="001B0357">
        <w:t>vital for the healthcare provider to observe safety and obtain crucial information, including telehealth basics and</w:t>
      </w:r>
      <w:r w:rsidR="0062062C" w:rsidRPr="001B0357">
        <w:t xml:space="preserve"> pre-</w:t>
      </w:r>
      <w:r w:rsidR="0062062C" w:rsidRPr="001B0357">
        <w:lastRenderedPageBreak/>
        <w:t>charting and escalation protocols.</w:t>
      </w:r>
      <w:r w:rsidR="00AD3887" w:rsidRPr="001B0357">
        <w:t xml:space="preserve"> Having a plan for documentation of the session, reconnecting, and backup plans is paramount in enhancing the success of the telepsychiatry. </w:t>
      </w:r>
    </w:p>
    <w:p w:rsidR="00A43003" w:rsidRPr="001B0357" w:rsidRDefault="001B0357" w:rsidP="001B0357">
      <w:pPr>
        <w:pStyle w:val="NormalWeb"/>
        <w:spacing w:before="0" w:beforeAutospacing="0" w:after="0" w:afterAutospacing="0" w:line="480" w:lineRule="auto"/>
        <w:ind w:firstLine="720"/>
      </w:pPr>
      <w:r w:rsidRPr="001B0357">
        <w:t>Providers should adhere to established guidelines and protocols for prescribing medications remotely to prevent legal issues and ensure responsible prescribing over telepsychiatry platforms</w:t>
      </w:r>
      <w:r w:rsidR="00A43003" w:rsidRPr="001B0357">
        <w:t xml:space="preserve">. This includes verifying the patient's identity, obtaining informed consent, conducting a thorough assessment of their medical history and current condition, and documenting all interactions and prescriptions accurately. </w:t>
      </w:r>
      <w:r w:rsidRPr="001B0357">
        <w:t>To ensure compliance, it is also crucial to stay updated on relevant laws and regulations governing telemedicine and telepsychiatry in their jurisdiction</w:t>
      </w:r>
      <w:r w:rsidR="00A43003" w:rsidRPr="001B0357">
        <w:t xml:space="preserve">. </w:t>
      </w:r>
      <w:r w:rsidRPr="001B0357">
        <w:t>Providers should also establish clear communication channels with patients to address</w:t>
      </w:r>
      <w:r w:rsidR="00A43003" w:rsidRPr="001B0357">
        <w:t xml:space="preserve"> </w:t>
      </w:r>
      <w:r w:rsidR="00A43003" w:rsidRPr="001B0357">
        <w:t xml:space="preserve">concerns during the care provision process. </w:t>
      </w:r>
    </w:p>
    <w:p w:rsidR="00A43003" w:rsidRPr="001B0357" w:rsidRDefault="001B0357" w:rsidP="001B0357">
      <w:pPr>
        <w:pStyle w:val="NormalWeb"/>
        <w:spacing w:before="0" w:beforeAutospacing="0" w:after="0" w:afterAutospacing="0" w:line="480" w:lineRule="auto"/>
        <w:ind w:firstLine="720"/>
      </w:pPr>
      <w:r w:rsidRPr="001B0357">
        <w:t>Providers must</w:t>
      </w:r>
      <w:r w:rsidR="00A43003" w:rsidRPr="001B0357">
        <w:t xml:space="preserve"> familiarize themselves with the laws and regulations specific to their jurisdiction when it comes to prescribing controlled substances through telepsychiatry platforms. This includes understanding the requirements for proper documentation, verif</w:t>
      </w:r>
      <w:r w:rsidRPr="001B0357">
        <w:t>ying patient identity, and adhering</w:t>
      </w:r>
      <w:r w:rsidR="00A43003" w:rsidRPr="001B0357">
        <w:t xml:space="preserve"> to prescription drug monitoring programs. </w:t>
      </w:r>
      <w:r w:rsidRPr="001B0357">
        <w:t>Providers should also be aware of any limitations or restrictions imposed by state or federal laws regarding prescribing</w:t>
      </w:r>
      <w:r w:rsidR="00A43003" w:rsidRPr="001B0357">
        <w:t xml:space="preserve"> certain controlled substances remotely</w:t>
      </w:r>
      <w:r w:rsidR="00A03964" w:rsidRPr="001B0357">
        <w:t xml:space="preserve"> (</w:t>
      </w:r>
      <w:proofErr w:type="spellStart"/>
      <w:r w:rsidR="00A03964" w:rsidRPr="001B0357">
        <w:t>Burky</w:t>
      </w:r>
      <w:proofErr w:type="spellEnd"/>
      <w:r w:rsidR="00A03964" w:rsidRPr="001B0357">
        <w:t>, 2023</w:t>
      </w:r>
      <w:r w:rsidR="00A03964" w:rsidRPr="001B0357">
        <w:t>)</w:t>
      </w:r>
      <w:r w:rsidR="00A43003" w:rsidRPr="001B0357">
        <w:t xml:space="preserve">. </w:t>
      </w:r>
      <w:r w:rsidR="00B33ED8" w:rsidRPr="001B0357">
        <w:t xml:space="preserve">For instance, at least one in-person visit is required </w:t>
      </w:r>
      <w:r w:rsidRPr="001B0357">
        <w:t>before</w:t>
      </w:r>
      <w:r w:rsidR="00B33ED8" w:rsidRPr="001B0357">
        <w:t xml:space="preserve"> prescribing controlled substances</w:t>
      </w:r>
      <w:r w:rsidRPr="001B0357">
        <w:t>,</w:t>
      </w:r>
      <w:r w:rsidR="00B33ED8" w:rsidRPr="001B0357">
        <w:t xml:space="preserve"> including opioids utilized in treating opioid abuse disorders. Similarly</w:t>
      </w:r>
      <w:r w:rsidRPr="001B0357">
        <w:t>,</w:t>
      </w:r>
      <w:r w:rsidR="00B33ED8" w:rsidRPr="001B0357">
        <w:t xml:space="preserve"> </w:t>
      </w:r>
      <w:proofErr w:type="gramStart"/>
      <w:r w:rsidR="00B33ED8" w:rsidRPr="001B0357">
        <w:t>schedule II controlled</w:t>
      </w:r>
      <w:proofErr w:type="gramEnd"/>
      <w:r w:rsidR="00B33ED8" w:rsidRPr="001B0357">
        <w:t xml:space="preserve"> substance requires at least one in-person visit </w:t>
      </w:r>
      <w:r w:rsidR="00A03964" w:rsidRPr="001B0357">
        <w:t>prescription</w:t>
      </w:r>
      <w:r w:rsidRPr="001B0357">
        <w:t>. In contrast,</w:t>
      </w:r>
      <w:r w:rsidR="00A03964" w:rsidRPr="001B0357">
        <w:t xml:space="preserve"> </w:t>
      </w:r>
      <w:r w:rsidRPr="001B0357">
        <w:t>S</w:t>
      </w:r>
      <w:r w:rsidR="00A03964" w:rsidRPr="001B0357">
        <w:t>chedule III medications or higher can be prescribed via telehealth but require an in-person visit for the refilling (</w:t>
      </w:r>
      <w:proofErr w:type="spellStart"/>
      <w:r w:rsidR="00A03964" w:rsidRPr="001B0357">
        <w:t>Burky</w:t>
      </w:r>
      <w:proofErr w:type="spellEnd"/>
      <w:r w:rsidR="00A03964" w:rsidRPr="001B0357">
        <w:t>, 2023</w:t>
      </w:r>
      <w:r w:rsidR="00A03964" w:rsidRPr="001B0357">
        <w:t xml:space="preserve">). </w:t>
      </w:r>
    </w:p>
    <w:p w:rsidR="00253242" w:rsidRPr="001B0357" w:rsidRDefault="00253242" w:rsidP="001B0357">
      <w:pPr>
        <w:pStyle w:val="NormalWeb"/>
        <w:spacing w:before="0" w:beforeAutospacing="0" w:after="0" w:afterAutospacing="0" w:line="480" w:lineRule="auto"/>
        <w:ind w:firstLine="720"/>
      </w:pPr>
      <w:r w:rsidRPr="001B0357">
        <w:t xml:space="preserve">Research studies have shown that telepsychiatry can be as effective as face-to-face visits </w:t>
      </w:r>
      <w:r w:rsidR="001B0357" w:rsidRPr="001B0357">
        <w:t>regarding</w:t>
      </w:r>
      <w:r w:rsidRPr="001B0357">
        <w:t xml:space="preserve"> clinical outcomes. Patients receiving telepsychiatry services have reported high </w:t>
      </w:r>
      <w:r w:rsidR="001B0357" w:rsidRPr="001B0357">
        <w:t>satisfaction levels</w:t>
      </w:r>
      <w:r w:rsidRPr="001B0357">
        <w:t xml:space="preserve"> and improve</w:t>
      </w:r>
      <w:r w:rsidR="001B0357" w:rsidRPr="001B0357">
        <w:t>d</w:t>
      </w:r>
      <w:r w:rsidRPr="001B0357">
        <w:t xml:space="preserve"> mental health conditions</w:t>
      </w:r>
      <w:r w:rsidRPr="001B0357">
        <w:t xml:space="preserve"> (</w:t>
      </w:r>
      <w:proofErr w:type="spellStart"/>
      <w:r w:rsidRPr="001B0357">
        <w:t>Androga</w:t>
      </w:r>
      <w:proofErr w:type="spellEnd"/>
      <w:r w:rsidRPr="001B0357">
        <w:t xml:space="preserve"> et al.</w:t>
      </w:r>
      <w:r w:rsidRPr="001B0357">
        <w:t>, 2022)</w:t>
      </w:r>
      <w:r w:rsidRPr="001B0357">
        <w:t xml:space="preserve">. However, it is </w:t>
      </w:r>
      <w:r w:rsidR="001B0357" w:rsidRPr="001B0357">
        <w:lastRenderedPageBreak/>
        <w:t>essential</w:t>
      </w:r>
      <w:r w:rsidRPr="001B0357">
        <w:t xml:space="preserve"> to note that the effectiveness of telepsychiatry may vary depending on the individual and the specific circumstances. It is recommended for healthcare providers to regularly evaluate and assess the outcomes of their telepsychiatry services to ensure optimal patient care. </w:t>
      </w:r>
    </w:p>
    <w:p w:rsidR="00FE33DD" w:rsidRPr="001B0357" w:rsidRDefault="00FE33DD" w:rsidP="001B0357">
      <w:pPr>
        <w:spacing w:after="0" w:line="480" w:lineRule="auto"/>
        <w:jc w:val="center"/>
        <w:rPr>
          <w:rFonts w:ascii="Times New Roman" w:hAnsi="Times New Roman" w:cs="Times New Roman"/>
          <w:b/>
          <w:sz w:val="24"/>
          <w:szCs w:val="24"/>
        </w:rPr>
      </w:pPr>
      <w:r w:rsidRPr="001B0357">
        <w:rPr>
          <w:rFonts w:ascii="Times New Roman" w:hAnsi="Times New Roman" w:cs="Times New Roman"/>
          <w:b/>
          <w:sz w:val="24"/>
          <w:szCs w:val="24"/>
        </w:rPr>
        <w:t>Pharmacogenetics</w:t>
      </w:r>
    </w:p>
    <w:p w:rsidR="00FE33DD" w:rsidRPr="001B0357" w:rsidRDefault="00FE33DD" w:rsidP="001B0357">
      <w:pPr>
        <w:pStyle w:val="NormalWeb"/>
        <w:spacing w:before="0" w:beforeAutospacing="0" w:after="0" w:afterAutospacing="0" w:line="480" w:lineRule="auto"/>
        <w:ind w:firstLine="720"/>
      </w:pPr>
      <w:r w:rsidRPr="001B0357">
        <w:t xml:space="preserve">Pharmacogenetics is a rapidly growing field that focuses on understanding how an individual's genetic makeup influences their </w:t>
      </w:r>
      <w:r w:rsidR="001B0357" w:rsidRPr="001B0357">
        <w:t>medication response</w:t>
      </w:r>
      <w:r w:rsidRPr="001B0357">
        <w:t>. By studying the interactions between genes and drugs, pharmacogenetics aims to personalize medicine and optimize treatment outcomes</w:t>
      </w:r>
      <w:r w:rsidR="00CA6863" w:rsidRPr="001B0357">
        <w:t xml:space="preserve"> (</w:t>
      </w:r>
      <w:r w:rsidR="00CA6863" w:rsidRPr="001B0357">
        <w:t>Oates &amp; Lopez, 2018</w:t>
      </w:r>
      <w:r w:rsidR="00CA6863" w:rsidRPr="001B0357">
        <w:t>)</w:t>
      </w:r>
      <w:r w:rsidRPr="001B0357">
        <w:t xml:space="preserve">. This emerging field </w:t>
      </w:r>
      <w:r w:rsidR="001B0357" w:rsidRPr="001B0357">
        <w:t>can revolutionize healthcare by allowing healthcare providers to prescribe medications</w:t>
      </w:r>
      <w:r w:rsidRPr="001B0357">
        <w:t xml:space="preserve"> tailored to an individual's genetic profile, minimizing adverse reactions and increasing the effectiveness of treatments. </w:t>
      </w:r>
    </w:p>
    <w:p w:rsidR="00BD24D7" w:rsidRPr="001B0357" w:rsidRDefault="00BD24D7" w:rsidP="001B0357">
      <w:pPr>
        <w:pStyle w:val="NormalWeb"/>
        <w:spacing w:before="0" w:beforeAutospacing="0" w:after="0" w:afterAutospacing="0" w:line="480" w:lineRule="auto"/>
        <w:ind w:firstLine="720"/>
      </w:pPr>
      <w:r w:rsidRPr="001B0357">
        <w:t>Pharmacogenetics offers numerous benefits in the field of medicine. Firstly, it allows for personalized medicine, where treatment plans can be tailored to an individual's genetic makeup</w:t>
      </w:r>
      <w:r w:rsidR="00CA6863" w:rsidRPr="001B0357">
        <w:t xml:space="preserve"> (</w:t>
      </w:r>
      <w:r w:rsidR="00CA6863" w:rsidRPr="001B0357">
        <w:t>Oates &amp; Lopez, 2018</w:t>
      </w:r>
      <w:r w:rsidR="00CA6863" w:rsidRPr="001B0357">
        <w:t>)</w:t>
      </w:r>
      <w:r w:rsidRPr="001B0357">
        <w:t xml:space="preserve">. This leads to more effective and efficient treatments, minimizing adverse drug reactions and optimizing therapeutic outcomes. Additionally, pharmacogenetics plays a crucial role in drug development by helping researchers identify individuals more likely to respond positively to certain medications, enabling the development of targeted therapies. </w:t>
      </w:r>
    </w:p>
    <w:p w:rsidR="00BD24D7" w:rsidRPr="001B0357" w:rsidRDefault="00BD24D7" w:rsidP="001B0357">
      <w:pPr>
        <w:pStyle w:val="NormalWeb"/>
        <w:spacing w:before="0" w:beforeAutospacing="0" w:after="0" w:afterAutospacing="0" w:line="480" w:lineRule="auto"/>
        <w:ind w:firstLine="720"/>
      </w:pPr>
      <w:r w:rsidRPr="001B0357">
        <w:t xml:space="preserve">However, there are some disadvantages to pharmacogenetics. One drawback is the cost associated with genetic testing and analysis, which can be expensive and may not be covered by insurance. This can limit access to personalized medicine for individuals who cannot afford the testing. </w:t>
      </w:r>
      <w:r w:rsidRPr="001B0357">
        <w:t xml:space="preserve">Besides, multiple gene tests may be required to </w:t>
      </w:r>
      <w:r w:rsidR="001B0357" w:rsidRPr="001B0357">
        <w:t xml:space="preserve">determine how an </w:t>
      </w:r>
      <w:proofErr w:type="gramStart"/>
      <w:r w:rsidR="001B0357" w:rsidRPr="001B0357">
        <w:t>individual responds</w:t>
      </w:r>
      <w:proofErr w:type="gramEnd"/>
      <w:r w:rsidRPr="001B0357">
        <w:t xml:space="preserve"> to medications</w:t>
      </w:r>
      <w:r w:rsidR="00CA6863" w:rsidRPr="001B0357">
        <w:t xml:space="preserve"> (</w:t>
      </w:r>
      <w:r w:rsidR="00CA6863" w:rsidRPr="001B0357">
        <w:t>Oates &amp; Lopez, 2018</w:t>
      </w:r>
      <w:r w:rsidR="00CA6863" w:rsidRPr="001B0357">
        <w:t>)</w:t>
      </w:r>
      <w:r w:rsidRPr="001B0357">
        <w:t>, with tests not being available for all the medic</w:t>
      </w:r>
      <w:r w:rsidR="001B0357" w:rsidRPr="001B0357">
        <w:t>ine</w:t>
      </w:r>
      <w:r w:rsidRPr="001B0357">
        <w:t xml:space="preserve">s. </w:t>
      </w:r>
      <w:r w:rsidRPr="001B0357">
        <w:t xml:space="preserve">Another disadvantage is the potential for ethical concerns, such as privacy issues related to </w:t>
      </w:r>
      <w:r w:rsidR="001B0357" w:rsidRPr="001B0357">
        <w:t>collecting and storing</w:t>
      </w:r>
      <w:r w:rsidRPr="001B0357">
        <w:t xml:space="preserve"> genetic information. </w:t>
      </w:r>
    </w:p>
    <w:p w:rsidR="001B0357" w:rsidRPr="001B0357" w:rsidRDefault="00FE33DD" w:rsidP="001B0357">
      <w:pPr>
        <w:spacing w:after="0" w:line="480" w:lineRule="auto"/>
        <w:jc w:val="center"/>
        <w:rPr>
          <w:rFonts w:ascii="Times New Roman" w:hAnsi="Times New Roman" w:cs="Times New Roman"/>
          <w:sz w:val="24"/>
          <w:szCs w:val="24"/>
        </w:rPr>
      </w:pPr>
      <w:r w:rsidRPr="001B0357">
        <w:rPr>
          <w:rFonts w:ascii="Times New Roman" w:hAnsi="Times New Roman" w:cs="Times New Roman"/>
          <w:b/>
          <w:sz w:val="24"/>
          <w:szCs w:val="24"/>
        </w:rPr>
        <w:lastRenderedPageBreak/>
        <w:t>References</w:t>
      </w:r>
    </w:p>
    <w:p w:rsidR="001B0357" w:rsidRPr="001B0357" w:rsidRDefault="001B0357" w:rsidP="001B0357">
      <w:pPr>
        <w:pStyle w:val="NormalWeb"/>
        <w:spacing w:before="0" w:beforeAutospacing="0" w:after="0" w:afterAutospacing="0" w:line="480" w:lineRule="auto"/>
        <w:ind w:left="720" w:hanging="720"/>
      </w:pPr>
      <w:proofErr w:type="spellStart"/>
      <w:r w:rsidRPr="001B0357">
        <w:t>Androga</w:t>
      </w:r>
      <w:proofErr w:type="spellEnd"/>
      <w:r w:rsidRPr="001B0357">
        <w:t xml:space="preserve">, L. A., Amundson, R. H., Hickson, L. J., </w:t>
      </w:r>
      <w:proofErr w:type="spellStart"/>
      <w:r w:rsidRPr="001B0357">
        <w:t>Thorsteinsdottir</w:t>
      </w:r>
      <w:proofErr w:type="spellEnd"/>
      <w:r w:rsidRPr="001B0357">
        <w:t xml:space="preserve">, B., </w:t>
      </w:r>
      <w:proofErr w:type="spellStart"/>
      <w:r w:rsidRPr="001B0357">
        <w:t>Garovic</w:t>
      </w:r>
      <w:proofErr w:type="spellEnd"/>
      <w:r w:rsidRPr="001B0357">
        <w:t xml:space="preserve">, V. D., Manohar, S., </w:t>
      </w:r>
      <w:proofErr w:type="spellStart"/>
      <w:r w:rsidRPr="001B0357">
        <w:t>Viehman</w:t>
      </w:r>
      <w:proofErr w:type="spellEnd"/>
      <w:r w:rsidRPr="001B0357">
        <w:t xml:space="preserve">, J. K., </w:t>
      </w:r>
      <w:proofErr w:type="spellStart"/>
      <w:r w:rsidRPr="001B0357">
        <w:t>Zoghby</w:t>
      </w:r>
      <w:proofErr w:type="spellEnd"/>
      <w:r w:rsidRPr="001B0357">
        <w:t xml:space="preserve">, Z., Norby, S. M., </w:t>
      </w:r>
      <w:proofErr w:type="spellStart"/>
      <w:r w:rsidRPr="001B0357">
        <w:t>Kattah</w:t>
      </w:r>
      <w:proofErr w:type="spellEnd"/>
      <w:r w:rsidRPr="001B0357">
        <w:t xml:space="preserve">, A. G., &amp; Albright, R. C. (2022). Telehealth versus face-to-face visits: A comprehensive outpatient perspective-based cohort study of patients with kidney disease. </w:t>
      </w:r>
      <w:r w:rsidRPr="001B0357">
        <w:rPr>
          <w:i/>
          <w:iCs/>
        </w:rPr>
        <w:t>PLOS ONE</w:t>
      </w:r>
      <w:r w:rsidRPr="001B0357">
        <w:t xml:space="preserve">, </w:t>
      </w:r>
      <w:r w:rsidRPr="001B0357">
        <w:rPr>
          <w:i/>
          <w:iCs/>
        </w:rPr>
        <w:t>17</w:t>
      </w:r>
      <w:r w:rsidRPr="001B0357">
        <w:t xml:space="preserve">(3), e0265073. </w:t>
      </w:r>
      <w:hyperlink r:id="rId6" w:history="1">
        <w:r w:rsidRPr="001B0357">
          <w:rPr>
            <w:rStyle w:val="Hyperlink"/>
          </w:rPr>
          <w:t>https://doi.org/10.1371/journal.pone.0265073</w:t>
        </w:r>
      </w:hyperlink>
      <w:r w:rsidRPr="001B0357">
        <w:t xml:space="preserve"> </w:t>
      </w:r>
    </w:p>
    <w:p w:rsidR="001B0357" w:rsidRPr="001B0357" w:rsidRDefault="001B0357" w:rsidP="001B0357">
      <w:pPr>
        <w:spacing w:after="0" w:line="480" w:lineRule="auto"/>
        <w:ind w:left="720" w:hanging="720"/>
        <w:rPr>
          <w:rFonts w:ascii="Times New Roman" w:hAnsi="Times New Roman" w:cs="Times New Roman"/>
          <w:sz w:val="24"/>
          <w:szCs w:val="24"/>
        </w:rPr>
      </w:pPr>
      <w:bookmarkStart w:id="1" w:name="_Hlk132260304"/>
      <w:r w:rsidRPr="001B0357">
        <w:rPr>
          <w:rFonts w:ascii="Times New Roman" w:hAnsi="Times New Roman" w:cs="Times New Roman"/>
          <w:color w:val="000000"/>
          <w:sz w:val="24"/>
          <w:szCs w:val="24"/>
          <w:shd w:val="clear" w:color="auto" w:fill="FFFFFF"/>
        </w:rPr>
        <w:t xml:space="preserve">APNA. (2023, </w:t>
      </w:r>
      <w:bookmarkEnd w:id="1"/>
      <w:r w:rsidRPr="001B0357">
        <w:rPr>
          <w:rFonts w:ascii="Times New Roman" w:hAnsi="Times New Roman" w:cs="Times New Roman"/>
          <w:color w:val="000000"/>
          <w:sz w:val="24"/>
          <w:szCs w:val="24"/>
          <w:shd w:val="clear" w:color="auto" w:fill="FFFFFF"/>
        </w:rPr>
        <w:t>December</w:t>
      </w:r>
      <w:r w:rsidRPr="001B0357">
        <w:rPr>
          <w:rFonts w:ascii="Times New Roman" w:hAnsi="Times New Roman" w:cs="Times New Roman"/>
          <w:color w:val="000000"/>
          <w:sz w:val="24"/>
          <w:szCs w:val="24"/>
          <w:shd w:val="clear" w:color="auto" w:fill="FFFFFF"/>
        </w:rPr>
        <w:t xml:space="preserve"> </w:t>
      </w:r>
      <w:r w:rsidRPr="001B0357">
        <w:rPr>
          <w:rFonts w:ascii="Times New Roman" w:hAnsi="Times New Roman" w:cs="Times New Roman"/>
          <w:color w:val="000000"/>
          <w:sz w:val="24"/>
          <w:szCs w:val="24"/>
          <w:shd w:val="clear" w:color="auto" w:fill="FFFFFF"/>
        </w:rPr>
        <w:t>6</w:t>
      </w:r>
      <w:r w:rsidRPr="001B0357">
        <w:rPr>
          <w:rFonts w:ascii="Times New Roman" w:hAnsi="Times New Roman" w:cs="Times New Roman"/>
          <w:color w:val="000000"/>
          <w:sz w:val="24"/>
          <w:szCs w:val="24"/>
          <w:shd w:val="clear" w:color="auto" w:fill="FFFFFF"/>
        </w:rPr>
        <w:t>). </w:t>
      </w:r>
      <w:proofErr w:type="spellStart"/>
      <w:r w:rsidRPr="001B0357">
        <w:rPr>
          <w:rStyle w:val="Emphasis"/>
          <w:rFonts w:ascii="Times New Roman" w:hAnsi="Times New Roman" w:cs="Times New Roman"/>
          <w:color w:val="000000"/>
          <w:sz w:val="24"/>
          <w:szCs w:val="24"/>
          <w:shd w:val="clear" w:color="auto" w:fill="FFFFFF"/>
        </w:rPr>
        <w:t>Telemental</w:t>
      </w:r>
      <w:proofErr w:type="spellEnd"/>
      <w:r w:rsidRPr="001B0357">
        <w:rPr>
          <w:rStyle w:val="Emphasis"/>
          <w:rFonts w:ascii="Times New Roman" w:hAnsi="Times New Roman" w:cs="Times New Roman"/>
          <w:color w:val="000000"/>
          <w:sz w:val="24"/>
          <w:szCs w:val="24"/>
          <w:shd w:val="clear" w:color="auto" w:fill="FFFFFF"/>
        </w:rPr>
        <w:t xml:space="preserve"> health: Logistical considerations. American Psychiatric Nurses Association</w:t>
      </w:r>
      <w:r w:rsidRPr="001B0357">
        <w:rPr>
          <w:rFonts w:ascii="Times New Roman" w:hAnsi="Times New Roman" w:cs="Times New Roman"/>
          <w:color w:val="000000"/>
          <w:sz w:val="24"/>
          <w:szCs w:val="24"/>
          <w:shd w:val="clear" w:color="auto" w:fill="FFFFFF"/>
        </w:rPr>
        <w:t>. </w:t>
      </w:r>
      <w:hyperlink r:id="rId7" w:history="1">
        <w:r w:rsidRPr="001B0357">
          <w:rPr>
            <w:rStyle w:val="Hyperlink"/>
            <w:rFonts w:ascii="Times New Roman" w:hAnsi="Times New Roman" w:cs="Times New Roman"/>
            <w:sz w:val="24"/>
            <w:szCs w:val="24"/>
            <w:shd w:val="clear" w:color="auto" w:fill="FFFFFF"/>
          </w:rPr>
          <w:t>https://www.apna.org/telemental-health-logistical-considerations/</w:t>
        </w:r>
      </w:hyperlink>
      <w:r w:rsidRPr="001B0357">
        <w:rPr>
          <w:rFonts w:ascii="Times New Roman" w:hAnsi="Times New Roman" w:cs="Times New Roman"/>
          <w:sz w:val="24"/>
          <w:szCs w:val="24"/>
          <w:shd w:val="clear" w:color="auto" w:fill="FFFFFF"/>
        </w:rPr>
        <w:t xml:space="preserve"> </w:t>
      </w:r>
    </w:p>
    <w:p w:rsidR="001B0357" w:rsidRPr="001B0357" w:rsidRDefault="001B0357" w:rsidP="001B0357">
      <w:pPr>
        <w:pStyle w:val="NormalWeb"/>
        <w:spacing w:before="0" w:beforeAutospacing="0" w:after="0" w:afterAutospacing="0" w:line="480" w:lineRule="auto"/>
        <w:ind w:left="720" w:hanging="720"/>
      </w:pPr>
      <w:proofErr w:type="spellStart"/>
      <w:r w:rsidRPr="001B0357">
        <w:t>Burky</w:t>
      </w:r>
      <w:proofErr w:type="spellEnd"/>
      <w:r w:rsidRPr="001B0357">
        <w:t xml:space="preserve">, A. (2023). </w:t>
      </w:r>
      <w:r w:rsidRPr="001B0357">
        <w:rPr>
          <w:i/>
          <w:iCs/>
        </w:rPr>
        <w:t>DEA</w:t>
      </w:r>
      <w:r w:rsidRPr="001B0357">
        <w:rPr>
          <w:i/>
          <w:iCs/>
        </w:rPr>
        <w:t>'</w:t>
      </w:r>
      <w:r w:rsidRPr="001B0357">
        <w:rPr>
          <w:i/>
          <w:iCs/>
        </w:rPr>
        <w:t>s proposed telehealth rules pull back COVID-era remote prescribing flexibilities</w:t>
      </w:r>
      <w:r w:rsidRPr="001B0357">
        <w:t xml:space="preserve">. </w:t>
      </w:r>
      <w:hyperlink r:id="rId8" w:history="1">
        <w:r w:rsidRPr="001B0357">
          <w:rPr>
            <w:rStyle w:val="Hyperlink"/>
          </w:rPr>
          <w:t>https://www.fiercehealthcare.com/telehealth/deas-proposed-telehealth-rules-tighten-covid-era-remote-prescribing-regulations</w:t>
        </w:r>
      </w:hyperlink>
      <w:r w:rsidRPr="001B0357">
        <w:t xml:space="preserve"> </w:t>
      </w:r>
    </w:p>
    <w:p w:rsidR="001B0357" w:rsidRPr="001B0357" w:rsidRDefault="001B0357" w:rsidP="001B0357">
      <w:pPr>
        <w:spacing w:after="0" w:line="480" w:lineRule="auto"/>
        <w:ind w:left="720" w:hanging="720"/>
        <w:rPr>
          <w:rFonts w:ascii="Times New Roman" w:hAnsi="Times New Roman" w:cs="Times New Roman"/>
          <w:color w:val="222222"/>
          <w:sz w:val="24"/>
          <w:szCs w:val="24"/>
          <w:shd w:val="clear" w:color="auto" w:fill="FFFFFF"/>
        </w:rPr>
      </w:pPr>
      <w:bookmarkStart w:id="2" w:name="_Hlk132254281"/>
      <w:r w:rsidRPr="001B0357">
        <w:rPr>
          <w:rFonts w:ascii="Times New Roman" w:hAnsi="Times New Roman" w:cs="Times New Roman"/>
          <w:color w:val="222222"/>
          <w:sz w:val="24"/>
          <w:szCs w:val="24"/>
          <w:shd w:val="clear" w:color="auto" w:fill="FFFFFF"/>
        </w:rPr>
        <w:t xml:space="preserve">Li, </w:t>
      </w:r>
      <w:bookmarkEnd w:id="2"/>
      <w:r w:rsidRPr="001B0357">
        <w:rPr>
          <w:rFonts w:ascii="Times New Roman" w:hAnsi="Times New Roman" w:cs="Times New Roman"/>
          <w:color w:val="222222"/>
          <w:sz w:val="24"/>
          <w:szCs w:val="24"/>
          <w:shd w:val="clear" w:color="auto" w:fill="FFFFFF"/>
        </w:rPr>
        <w:t>Z., Harrison, S. E., Li, X., &amp; Hung, P. (2021). Telepsychiatry adoption across hospitals in the United States: a cross-sectional study. </w:t>
      </w:r>
      <w:r w:rsidRPr="001B0357">
        <w:rPr>
          <w:rFonts w:ascii="Times New Roman" w:hAnsi="Times New Roman" w:cs="Times New Roman"/>
          <w:i/>
          <w:iCs/>
          <w:color w:val="222222"/>
          <w:sz w:val="24"/>
          <w:szCs w:val="24"/>
          <w:shd w:val="clear" w:color="auto" w:fill="FFFFFF"/>
        </w:rPr>
        <w:t>BMC psychiatry</w:t>
      </w:r>
      <w:r w:rsidRPr="001B0357">
        <w:rPr>
          <w:rFonts w:ascii="Times New Roman" w:hAnsi="Times New Roman" w:cs="Times New Roman"/>
          <w:color w:val="222222"/>
          <w:sz w:val="24"/>
          <w:szCs w:val="24"/>
          <w:shd w:val="clear" w:color="auto" w:fill="FFFFFF"/>
        </w:rPr>
        <w:t>, </w:t>
      </w:r>
      <w:r w:rsidRPr="001B0357">
        <w:rPr>
          <w:rFonts w:ascii="Times New Roman" w:hAnsi="Times New Roman" w:cs="Times New Roman"/>
          <w:i/>
          <w:iCs/>
          <w:color w:val="222222"/>
          <w:sz w:val="24"/>
          <w:szCs w:val="24"/>
          <w:shd w:val="clear" w:color="auto" w:fill="FFFFFF"/>
        </w:rPr>
        <w:t>21</w:t>
      </w:r>
      <w:r w:rsidRPr="001B0357">
        <w:rPr>
          <w:rFonts w:ascii="Times New Roman" w:hAnsi="Times New Roman" w:cs="Times New Roman"/>
          <w:color w:val="222222"/>
          <w:sz w:val="24"/>
          <w:szCs w:val="24"/>
          <w:shd w:val="clear" w:color="auto" w:fill="FFFFFF"/>
        </w:rPr>
        <w:t>(1), 1-12.</w:t>
      </w:r>
      <w:r w:rsidRPr="001B0357">
        <w:rPr>
          <w:rFonts w:ascii="Times New Roman" w:hAnsi="Times New Roman" w:cs="Times New Roman"/>
          <w:sz w:val="24"/>
          <w:szCs w:val="24"/>
        </w:rPr>
        <w:t xml:space="preserve"> </w:t>
      </w:r>
      <w:hyperlink r:id="rId9" w:history="1">
        <w:r w:rsidRPr="001B0357">
          <w:rPr>
            <w:rStyle w:val="Hyperlink"/>
            <w:rFonts w:ascii="Times New Roman" w:hAnsi="Times New Roman" w:cs="Times New Roman"/>
            <w:sz w:val="24"/>
            <w:szCs w:val="24"/>
            <w:shd w:val="clear" w:color="auto" w:fill="FFFFFF"/>
          </w:rPr>
          <w:t>https://doi.org/10.1186/s12888-021-03180-8</w:t>
        </w:r>
      </w:hyperlink>
      <w:r w:rsidRPr="001B0357">
        <w:rPr>
          <w:rFonts w:ascii="Times New Roman" w:hAnsi="Times New Roman" w:cs="Times New Roman"/>
          <w:color w:val="222222"/>
          <w:sz w:val="24"/>
          <w:szCs w:val="24"/>
          <w:shd w:val="clear" w:color="auto" w:fill="FFFFFF"/>
        </w:rPr>
        <w:t xml:space="preserve"> </w:t>
      </w:r>
    </w:p>
    <w:p w:rsidR="001B0357" w:rsidRPr="001B0357" w:rsidRDefault="001B0357" w:rsidP="001B0357">
      <w:pPr>
        <w:pStyle w:val="NormalWeb"/>
        <w:spacing w:before="0" w:beforeAutospacing="0" w:after="0" w:afterAutospacing="0" w:line="480" w:lineRule="auto"/>
        <w:ind w:left="720" w:hanging="720"/>
      </w:pPr>
      <w:r w:rsidRPr="001B0357">
        <w:t>Massachusetts Medical Society. (202</w:t>
      </w:r>
      <w:r w:rsidRPr="001B0357">
        <w:t>3</w:t>
      </w:r>
      <w:r w:rsidRPr="001B0357">
        <w:t xml:space="preserve">). </w:t>
      </w:r>
      <w:r w:rsidRPr="001B0357">
        <w:rPr>
          <w:i/>
          <w:iCs/>
        </w:rPr>
        <w:t>Massachusetts Medical Society: Telehealth and Virtual Care</w:t>
      </w:r>
      <w:r w:rsidRPr="001B0357">
        <w:t xml:space="preserve">. Www.massmed.org. </w:t>
      </w:r>
      <w:hyperlink r:id="rId10" w:history="1">
        <w:r w:rsidRPr="001B0357">
          <w:rPr>
            <w:rStyle w:val="Hyperlink"/>
          </w:rPr>
          <w:t>https://www.massmed.org/Practice-Support/Telehealth-and-Virtual-Care/Telehealth-and-Virtual-Care/</w:t>
        </w:r>
      </w:hyperlink>
      <w:r w:rsidRPr="001B0357">
        <w:t xml:space="preserve"> </w:t>
      </w:r>
    </w:p>
    <w:p w:rsidR="001B0357" w:rsidRPr="001B0357" w:rsidRDefault="001B0357" w:rsidP="001B0357">
      <w:pPr>
        <w:spacing w:after="0" w:line="480" w:lineRule="auto"/>
        <w:ind w:left="720" w:hanging="720"/>
        <w:rPr>
          <w:rFonts w:ascii="Times New Roman" w:hAnsi="Times New Roman" w:cs="Times New Roman"/>
          <w:sz w:val="24"/>
          <w:szCs w:val="24"/>
        </w:rPr>
      </w:pPr>
      <w:r w:rsidRPr="001B0357">
        <w:rPr>
          <w:rFonts w:ascii="Times New Roman" w:hAnsi="Times New Roman" w:cs="Times New Roman"/>
          <w:sz w:val="24"/>
          <w:szCs w:val="24"/>
        </w:rPr>
        <w:t>Massachusetts.gov. (2023). </w:t>
      </w:r>
      <w:r w:rsidRPr="001B0357">
        <w:rPr>
          <w:rFonts w:ascii="Times New Roman" w:hAnsi="Times New Roman" w:cs="Times New Roman"/>
          <w:i/>
          <w:iCs/>
          <w:sz w:val="24"/>
          <w:szCs w:val="24"/>
        </w:rPr>
        <w:t xml:space="preserve">Prescribing Practices Policy </w:t>
      </w:r>
      <w:proofErr w:type="gramStart"/>
      <w:r w:rsidRPr="001B0357">
        <w:rPr>
          <w:rFonts w:ascii="Times New Roman" w:hAnsi="Times New Roman" w:cs="Times New Roman"/>
          <w:i/>
          <w:iCs/>
          <w:sz w:val="24"/>
          <w:szCs w:val="24"/>
        </w:rPr>
        <w:t>And</w:t>
      </w:r>
      <w:proofErr w:type="gramEnd"/>
      <w:r w:rsidRPr="001B0357">
        <w:rPr>
          <w:rFonts w:ascii="Times New Roman" w:hAnsi="Times New Roman" w:cs="Times New Roman"/>
          <w:i/>
          <w:iCs/>
          <w:sz w:val="24"/>
          <w:szCs w:val="24"/>
        </w:rPr>
        <w:t xml:space="preserve"> Guidelines</w:t>
      </w:r>
      <w:r w:rsidRPr="001B0357">
        <w:rPr>
          <w:rFonts w:ascii="Times New Roman" w:hAnsi="Times New Roman" w:cs="Times New Roman"/>
          <w:sz w:val="24"/>
          <w:szCs w:val="24"/>
        </w:rPr>
        <w:t>. Mass.gov. </w:t>
      </w:r>
      <w:hyperlink r:id="rId11" w:history="1">
        <w:r w:rsidRPr="001B0357">
          <w:rPr>
            <w:rStyle w:val="Hyperlink"/>
            <w:rFonts w:ascii="Times New Roman" w:hAnsi="Times New Roman" w:cs="Times New Roman"/>
            <w:sz w:val="24"/>
            <w:szCs w:val="24"/>
          </w:rPr>
          <w:t>https://www.mass.gov/doc/policy-15-05-prescribing-practices-policy-and-guidelines-october-8-2015-0/download</w:t>
        </w:r>
      </w:hyperlink>
      <w:r w:rsidRPr="001B0357">
        <w:rPr>
          <w:rFonts w:ascii="Times New Roman" w:hAnsi="Times New Roman" w:cs="Times New Roman"/>
          <w:sz w:val="24"/>
          <w:szCs w:val="24"/>
        </w:rPr>
        <w:t xml:space="preserve"> </w:t>
      </w:r>
    </w:p>
    <w:p w:rsidR="001B0357" w:rsidRPr="001B0357" w:rsidRDefault="001B0357" w:rsidP="001B0357">
      <w:pPr>
        <w:spacing w:after="0" w:line="480" w:lineRule="auto"/>
        <w:ind w:left="720" w:hanging="720"/>
        <w:rPr>
          <w:rFonts w:ascii="Times New Roman" w:hAnsi="Times New Roman" w:cs="Times New Roman"/>
          <w:sz w:val="24"/>
          <w:szCs w:val="24"/>
        </w:rPr>
      </w:pPr>
      <w:bookmarkStart w:id="3" w:name="_Hlk132263298"/>
      <w:r w:rsidRPr="001B0357">
        <w:rPr>
          <w:rFonts w:ascii="Times New Roman" w:hAnsi="Times New Roman" w:cs="Times New Roman"/>
          <w:color w:val="222222"/>
          <w:sz w:val="24"/>
          <w:szCs w:val="24"/>
          <w:shd w:val="clear" w:color="auto" w:fill="FFFFFF"/>
        </w:rPr>
        <w:t>Oates, J. T., &amp; Lopez, D. (2018</w:t>
      </w:r>
      <w:bookmarkEnd w:id="3"/>
      <w:r w:rsidRPr="001B0357">
        <w:rPr>
          <w:rFonts w:ascii="Times New Roman" w:hAnsi="Times New Roman" w:cs="Times New Roman"/>
          <w:color w:val="222222"/>
          <w:sz w:val="24"/>
          <w:szCs w:val="24"/>
          <w:shd w:val="clear" w:color="auto" w:fill="FFFFFF"/>
        </w:rPr>
        <w:t>). Pharmacogenetics: an important part of drug development with a focus on its application. </w:t>
      </w:r>
      <w:r w:rsidRPr="001B0357">
        <w:rPr>
          <w:rFonts w:ascii="Times New Roman" w:hAnsi="Times New Roman" w:cs="Times New Roman"/>
          <w:i/>
          <w:iCs/>
          <w:color w:val="222222"/>
          <w:sz w:val="24"/>
          <w:szCs w:val="24"/>
          <w:shd w:val="clear" w:color="auto" w:fill="FFFFFF"/>
        </w:rPr>
        <w:t>International journal of biomedical investigation</w:t>
      </w:r>
      <w:r w:rsidRPr="001B0357">
        <w:rPr>
          <w:rFonts w:ascii="Times New Roman" w:hAnsi="Times New Roman" w:cs="Times New Roman"/>
          <w:color w:val="222222"/>
          <w:sz w:val="24"/>
          <w:szCs w:val="24"/>
          <w:shd w:val="clear" w:color="auto" w:fill="FFFFFF"/>
        </w:rPr>
        <w:t>, </w:t>
      </w:r>
      <w:r w:rsidRPr="001B0357">
        <w:rPr>
          <w:rFonts w:ascii="Times New Roman" w:hAnsi="Times New Roman" w:cs="Times New Roman"/>
          <w:i/>
          <w:iCs/>
          <w:color w:val="222222"/>
          <w:sz w:val="24"/>
          <w:szCs w:val="24"/>
          <w:shd w:val="clear" w:color="auto" w:fill="FFFFFF"/>
        </w:rPr>
        <w:t>1</w:t>
      </w:r>
      <w:r w:rsidRPr="001B0357">
        <w:rPr>
          <w:rFonts w:ascii="Times New Roman" w:hAnsi="Times New Roman" w:cs="Times New Roman"/>
          <w:color w:val="222222"/>
          <w:sz w:val="24"/>
          <w:szCs w:val="24"/>
          <w:shd w:val="clear" w:color="auto" w:fill="FFFFFF"/>
        </w:rPr>
        <w:t>(2).</w:t>
      </w:r>
      <w:r w:rsidRPr="001B0357">
        <w:rPr>
          <w:rFonts w:ascii="Times New Roman" w:hAnsi="Times New Roman" w:cs="Times New Roman"/>
          <w:sz w:val="24"/>
          <w:szCs w:val="24"/>
        </w:rPr>
        <w:t xml:space="preserve"> </w:t>
      </w:r>
      <w:hyperlink r:id="rId12" w:history="1">
        <w:r w:rsidRPr="001B0357">
          <w:rPr>
            <w:rStyle w:val="Hyperlink"/>
            <w:rFonts w:ascii="Times New Roman" w:hAnsi="Times New Roman" w:cs="Times New Roman"/>
            <w:sz w:val="24"/>
            <w:szCs w:val="24"/>
            <w:shd w:val="clear" w:color="auto" w:fill="FFFFFF"/>
          </w:rPr>
          <w:t>https://doi.org/10.31531%2F2581-4745.1000111</w:t>
        </w:r>
      </w:hyperlink>
      <w:r w:rsidRPr="001B0357">
        <w:rPr>
          <w:rFonts w:ascii="Times New Roman" w:hAnsi="Times New Roman" w:cs="Times New Roman"/>
          <w:color w:val="222222"/>
          <w:sz w:val="24"/>
          <w:szCs w:val="24"/>
          <w:shd w:val="clear" w:color="auto" w:fill="FFFFFF"/>
        </w:rPr>
        <w:t xml:space="preserve"> </w:t>
      </w:r>
    </w:p>
    <w:sectPr w:rsidR="001B0357" w:rsidRPr="001B035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E56" w:rsidRDefault="00050E56" w:rsidP="00C125A6">
      <w:pPr>
        <w:spacing w:after="0" w:line="240" w:lineRule="auto"/>
      </w:pPr>
      <w:r>
        <w:separator/>
      </w:r>
    </w:p>
  </w:endnote>
  <w:endnote w:type="continuationSeparator" w:id="0">
    <w:p w:rsidR="00050E56" w:rsidRDefault="00050E56" w:rsidP="00C1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E56" w:rsidRDefault="00050E56" w:rsidP="00C125A6">
      <w:pPr>
        <w:spacing w:after="0" w:line="240" w:lineRule="auto"/>
      </w:pPr>
      <w:r>
        <w:separator/>
      </w:r>
    </w:p>
  </w:footnote>
  <w:footnote w:type="continuationSeparator" w:id="0">
    <w:p w:rsidR="00050E56" w:rsidRDefault="00050E56" w:rsidP="00C1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892541"/>
      <w:docPartObj>
        <w:docPartGallery w:val="Page Numbers (Top of Page)"/>
        <w:docPartUnique/>
      </w:docPartObj>
    </w:sdtPr>
    <w:sdtEndPr>
      <w:rPr>
        <w:noProof/>
      </w:rPr>
    </w:sdtEndPr>
    <w:sdtContent>
      <w:p w:rsidR="00C125A6" w:rsidRDefault="00C125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125A6" w:rsidRDefault="00C12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NDA0sTQyNLQwMrdQ0lEKTi0uzszPAykwrAUAKldE6CwAAAA="/>
  </w:docVars>
  <w:rsids>
    <w:rsidRoot w:val="002E7D90"/>
    <w:rsid w:val="00050E56"/>
    <w:rsid w:val="000E40DC"/>
    <w:rsid w:val="00143188"/>
    <w:rsid w:val="001478C1"/>
    <w:rsid w:val="001B0357"/>
    <w:rsid w:val="00253242"/>
    <w:rsid w:val="002E7D90"/>
    <w:rsid w:val="002F2AE2"/>
    <w:rsid w:val="004B0018"/>
    <w:rsid w:val="004E3C60"/>
    <w:rsid w:val="005B06DB"/>
    <w:rsid w:val="006062C0"/>
    <w:rsid w:val="0062062C"/>
    <w:rsid w:val="00707BA5"/>
    <w:rsid w:val="007B727B"/>
    <w:rsid w:val="00807E97"/>
    <w:rsid w:val="008B1254"/>
    <w:rsid w:val="009573E7"/>
    <w:rsid w:val="00965BC2"/>
    <w:rsid w:val="00A03964"/>
    <w:rsid w:val="00A43003"/>
    <w:rsid w:val="00A60B2E"/>
    <w:rsid w:val="00A823CF"/>
    <w:rsid w:val="00AD3887"/>
    <w:rsid w:val="00B03AB2"/>
    <w:rsid w:val="00B33ED8"/>
    <w:rsid w:val="00BD24D7"/>
    <w:rsid w:val="00C125A6"/>
    <w:rsid w:val="00C305FD"/>
    <w:rsid w:val="00C9480B"/>
    <w:rsid w:val="00CA6863"/>
    <w:rsid w:val="00D90B2C"/>
    <w:rsid w:val="00DC269C"/>
    <w:rsid w:val="00E91E70"/>
    <w:rsid w:val="00F63216"/>
    <w:rsid w:val="00FC455A"/>
    <w:rsid w:val="00FE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E811"/>
  <w15:chartTrackingRefBased/>
  <w15:docId w15:val="{1D91070A-7B88-4BAA-81C5-AB1357D7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2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6863"/>
    <w:rPr>
      <w:i/>
      <w:iCs/>
    </w:rPr>
  </w:style>
  <w:style w:type="character" w:styleId="Hyperlink">
    <w:name w:val="Hyperlink"/>
    <w:basedOn w:val="DefaultParagraphFont"/>
    <w:uiPriority w:val="99"/>
    <w:unhideWhenUsed/>
    <w:rsid w:val="00CA6863"/>
    <w:rPr>
      <w:color w:val="0000FF"/>
      <w:u w:val="single"/>
    </w:rPr>
  </w:style>
  <w:style w:type="character" w:styleId="UnresolvedMention">
    <w:name w:val="Unresolved Mention"/>
    <w:basedOn w:val="DefaultParagraphFont"/>
    <w:uiPriority w:val="99"/>
    <w:semiHidden/>
    <w:unhideWhenUsed/>
    <w:rsid w:val="00CA6863"/>
    <w:rPr>
      <w:color w:val="605E5C"/>
      <w:shd w:val="clear" w:color="auto" w:fill="E1DFDD"/>
    </w:rPr>
  </w:style>
  <w:style w:type="paragraph" w:styleId="Header">
    <w:name w:val="header"/>
    <w:basedOn w:val="Normal"/>
    <w:link w:val="HeaderChar"/>
    <w:uiPriority w:val="99"/>
    <w:unhideWhenUsed/>
    <w:rsid w:val="00C1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5A6"/>
  </w:style>
  <w:style w:type="paragraph" w:styleId="Footer">
    <w:name w:val="footer"/>
    <w:basedOn w:val="Normal"/>
    <w:link w:val="FooterChar"/>
    <w:uiPriority w:val="99"/>
    <w:unhideWhenUsed/>
    <w:rsid w:val="00C1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23321">
      <w:bodyDiv w:val="1"/>
      <w:marLeft w:val="0"/>
      <w:marRight w:val="0"/>
      <w:marTop w:val="0"/>
      <w:marBottom w:val="0"/>
      <w:divBdr>
        <w:top w:val="none" w:sz="0" w:space="0" w:color="auto"/>
        <w:left w:val="none" w:sz="0" w:space="0" w:color="auto"/>
        <w:bottom w:val="none" w:sz="0" w:space="0" w:color="auto"/>
        <w:right w:val="none" w:sz="0" w:space="0" w:color="auto"/>
      </w:divBdr>
    </w:div>
    <w:div w:id="535967148">
      <w:bodyDiv w:val="1"/>
      <w:marLeft w:val="0"/>
      <w:marRight w:val="0"/>
      <w:marTop w:val="0"/>
      <w:marBottom w:val="0"/>
      <w:divBdr>
        <w:top w:val="none" w:sz="0" w:space="0" w:color="auto"/>
        <w:left w:val="none" w:sz="0" w:space="0" w:color="auto"/>
        <w:bottom w:val="none" w:sz="0" w:space="0" w:color="auto"/>
        <w:right w:val="none" w:sz="0" w:space="0" w:color="auto"/>
      </w:divBdr>
    </w:div>
    <w:div w:id="700668196">
      <w:bodyDiv w:val="1"/>
      <w:marLeft w:val="0"/>
      <w:marRight w:val="0"/>
      <w:marTop w:val="0"/>
      <w:marBottom w:val="0"/>
      <w:divBdr>
        <w:top w:val="none" w:sz="0" w:space="0" w:color="auto"/>
        <w:left w:val="none" w:sz="0" w:space="0" w:color="auto"/>
        <w:bottom w:val="none" w:sz="0" w:space="0" w:color="auto"/>
        <w:right w:val="none" w:sz="0" w:space="0" w:color="auto"/>
      </w:divBdr>
    </w:div>
    <w:div w:id="993219142">
      <w:bodyDiv w:val="1"/>
      <w:marLeft w:val="0"/>
      <w:marRight w:val="0"/>
      <w:marTop w:val="0"/>
      <w:marBottom w:val="0"/>
      <w:divBdr>
        <w:top w:val="none" w:sz="0" w:space="0" w:color="auto"/>
        <w:left w:val="none" w:sz="0" w:space="0" w:color="auto"/>
        <w:bottom w:val="none" w:sz="0" w:space="0" w:color="auto"/>
        <w:right w:val="none" w:sz="0" w:space="0" w:color="auto"/>
      </w:divBdr>
    </w:div>
    <w:div w:id="1032344785">
      <w:bodyDiv w:val="1"/>
      <w:marLeft w:val="0"/>
      <w:marRight w:val="0"/>
      <w:marTop w:val="0"/>
      <w:marBottom w:val="0"/>
      <w:divBdr>
        <w:top w:val="none" w:sz="0" w:space="0" w:color="auto"/>
        <w:left w:val="none" w:sz="0" w:space="0" w:color="auto"/>
        <w:bottom w:val="none" w:sz="0" w:space="0" w:color="auto"/>
        <w:right w:val="none" w:sz="0" w:space="0" w:color="auto"/>
      </w:divBdr>
    </w:div>
    <w:div w:id="1389110555">
      <w:bodyDiv w:val="1"/>
      <w:marLeft w:val="0"/>
      <w:marRight w:val="0"/>
      <w:marTop w:val="0"/>
      <w:marBottom w:val="0"/>
      <w:divBdr>
        <w:top w:val="none" w:sz="0" w:space="0" w:color="auto"/>
        <w:left w:val="none" w:sz="0" w:space="0" w:color="auto"/>
        <w:bottom w:val="none" w:sz="0" w:space="0" w:color="auto"/>
        <w:right w:val="none" w:sz="0" w:space="0" w:color="auto"/>
      </w:divBdr>
    </w:div>
    <w:div w:id="1568492821">
      <w:bodyDiv w:val="1"/>
      <w:marLeft w:val="0"/>
      <w:marRight w:val="0"/>
      <w:marTop w:val="0"/>
      <w:marBottom w:val="0"/>
      <w:divBdr>
        <w:top w:val="none" w:sz="0" w:space="0" w:color="auto"/>
        <w:left w:val="none" w:sz="0" w:space="0" w:color="auto"/>
        <w:bottom w:val="none" w:sz="0" w:space="0" w:color="auto"/>
        <w:right w:val="none" w:sz="0" w:space="0" w:color="auto"/>
      </w:divBdr>
    </w:div>
    <w:div w:id="1715425601">
      <w:bodyDiv w:val="1"/>
      <w:marLeft w:val="0"/>
      <w:marRight w:val="0"/>
      <w:marTop w:val="0"/>
      <w:marBottom w:val="0"/>
      <w:divBdr>
        <w:top w:val="none" w:sz="0" w:space="0" w:color="auto"/>
        <w:left w:val="none" w:sz="0" w:space="0" w:color="auto"/>
        <w:bottom w:val="none" w:sz="0" w:space="0" w:color="auto"/>
        <w:right w:val="none" w:sz="0" w:space="0" w:color="auto"/>
      </w:divBdr>
    </w:div>
    <w:div w:id="1813212499">
      <w:bodyDiv w:val="1"/>
      <w:marLeft w:val="0"/>
      <w:marRight w:val="0"/>
      <w:marTop w:val="0"/>
      <w:marBottom w:val="0"/>
      <w:divBdr>
        <w:top w:val="none" w:sz="0" w:space="0" w:color="auto"/>
        <w:left w:val="none" w:sz="0" w:space="0" w:color="auto"/>
        <w:bottom w:val="none" w:sz="0" w:space="0" w:color="auto"/>
        <w:right w:val="none" w:sz="0" w:space="0" w:color="auto"/>
      </w:divBdr>
    </w:div>
    <w:div w:id="18200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ercehealthcare.com/telehealth/deas-proposed-telehealth-rules-tighten-covid-era-remote-prescribing-regulation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pna.org/telemental-health-logistical-considerations/" TargetMode="External"/><Relationship Id="rId12" Type="http://schemas.openxmlformats.org/officeDocument/2006/relationships/hyperlink" Target="https://doi.org/10.31531%2F2581-4745.1000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65073" TargetMode="External"/><Relationship Id="rId11" Type="http://schemas.openxmlformats.org/officeDocument/2006/relationships/hyperlink" Target="https://www.mass.gov/doc/policy-15-05-prescribing-practices-policy-and-guidelines-october-8-2015-0/downloa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assmed.org/Practice-Support/Telehealth-and-Virtual-Care/Telehealth-and-Virtual-Care/" TargetMode="External"/><Relationship Id="rId4" Type="http://schemas.openxmlformats.org/officeDocument/2006/relationships/footnotes" Target="footnotes.xml"/><Relationship Id="rId9" Type="http://schemas.openxmlformats.org/officeDocument/2006/relationships/hyperlink" Target="https://doi.org/10.1186/s12888-021-0318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40</cp:revision>
  <dcterms:created xsi:type="dcterms:W3CDTF">2023-12-05T17:08:00Z</dcterms:created>
  <dcterms:modified xsi:type="dcterms:W3CDTF">2023-12-06T13:00:00Z</dcterms:modified>
</cp:coreProperties>
</file>