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95" w:rsidRPr="00E25775" w:rsidRDefault="00123B95" w:rsidP="00123B9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Understanding and Addressing Diabetes in Columbia, South Carolina: An Epidemiological Approach</w:t>
      </w:r>
      <w:bookmarkStart w:id="0" w:name="_GoBack"/>
      <w:bookmarkEnd w:id="0"/>
    </w:p>
    <w:p w:rsidR="00C5652A" w:rsidRPr="00123B95" w:rsidRDefault="00123B95" w:rsidP="00123B9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Diagnosis and Screening </w:t>
      </w:r>
    </w:p>
    <w:p w:rsidR="0010156E" w:rsidRPr="00C5652A" w:rsidRDefault="00665DE8" w:rsidP="00C5652A">
      <w:pPr>
        <w:spacing w:after="0" w:line="480" w:lineRule="auto"/>
        <w:ind w:firstLine="720"/>
        <w:rPr>
          <w:rFonts w:ascii="Times New Roman" w:hAnsi="Times New Roman" w:cs="Times New Roman"/>
          <w:sz w:val="24"/>
          <w:szCs w:val="24"/>
        </w:rPr>
      </w:pPr>
      <w:r w:rsidRPr="00C5652A">
        <w:rPr>
          <w:rFonts w:ascii="Times New Roman" w:hAnsi="Times New Roman" w:cs="Times New Roman"/>
          <w:sz w:val="24"/>
          <w:szCs w:val="24"/>
        </w:rPr>
        <w:t xml:space="preserve">Diabetes mellitus is a term used to refer to a group </w:t>
      </w:r>
      <w:r w:rsidR="00E66CDC" w:rsidRPr="00C5652A">
        <w:rPr>
          <w:rFonts w:ascii="Times New Roman" w:hAnsi="Times New Roman" w:cs="Times New Roman"/>
          <w:sz w:val="24"/>
          <w:szCs w:val="24"/>
        </w:rPr>
        <w:t xml:space="preserve">of </w:t>
      </w:r>
      <w:r w:rsidRPr="00C5652A">
        <w:rPr>
          <w:rFonts w:ascii="Times New Roman" w:hAnsi="Times New Roman" w:cs="Times New Roman"/>
          <w:sz w:val="24"/>
          <w:szCs w:val="24"/>
        </w:rPr>
        <w:t xml:space="preserve">metabolic diseases </w:t>
      </w:r>
      <w:r w:rsidR="00E66CDC" w:rsidRPr="00C5652A">
        <w:rPr>
          <w:rFonts w:ascii="Times New Roman" w:hAnsi="Times New Roman" w:cs="Times New Roman"/>
          <w:sz w:val="24"/>
          <w:szCs w:val="24"/>
        </w:rPr>
        <w:t>that</w:t>
      </w:r>
      <w:r w:rsidRPr="00C5652A">
        <w:rPr>
          <w:rFonts w:ascii="Times New Roman" w:hAnsi="Times New Roman" w:cs="Times New Roman"/>
          <w:sz w:val="24"/>
          <w:szCs w:val="24"/>
        </w:rPr>
        <w:t xml:space="preserve"> manifest clinically as hyperglycemia secondary to anomalies of insulin secretion or action or both (</w:t>
      </w:r>
      <w:r w:rsidR="00556531" w:rsidRPr="00C5652A">
        <w:rPr>
          <w:rFonts w:ascii="Times New Roman" w:hAnsi="Times New Roman" w:cs="Times New Roman"/>
          <w:color w:val="222222"/>
          <w:sz w:val="24"/>
          <w:szCs w:val="24"/>
          <w:shd w:val="clear" w:color="auto" w:fill="FFFFFF"/>
        </w:rPr>
        <w:t>Petersmann et al., 2019</w:t>
      </w:r>
      <w:r w:rsidRPr="00C5652A">
        <w:rPr>
          <w:rFonts w:ascii="Times New Roman" w:hAnsi="Times New Roman" w:cs="Times New Roman"/>
          <w:sz w:val="24"/>
          <w:szCs w:val="24"/>
        </w:rPr>
        <w:t xml:space="preserve">). The condition </w:t>
      </w:r>
      <w:r w:rsidR="003E23F4" w:rsidRPr="00C5652A">
        <w:rPr>
          <w:rFonts w:ascii="Times New Roman" w:hAnsi="Times New Roman" w:cs="Times New Roman"/>
          <w:sz w:val="24"/>
          <w:szCs w:val="24"/>
        </w:rPr>
        <w:t>exists</w:t>
      </w:r>
      <w:r w:rsidRPr="00C5652A">
        <w:rPr>
          <w:rFonts w:ascii="Times New Roman" w:hAnsi="Times New Roman" w:cs="Times New Roman"/>
          <w:sz w:val="24"/>
          <w:szCs w:val="24"/>
        </w:rPr>
        <w:t xml:space="preserve"> either as type 1</w:t>
      </w:r>
      <w:r w:rsidR="003E23F4" w:rsidRPr="00C5652A">
        <w:rPr>
          <w:rFonts w:ascii="Times New Roman" w:hAnsi="Times New Roman" w:cs="Times New Roman"/>
          <w:sz w:val="24"/>
          <w:szCs w:val="24"/>
        </w:rPr>
        <w:t>,</w:t>
      </w:r>
      <w:r w:rsidRPr="00C5652A">
        <w:rPr>
          <w:rFonts w:ascii="Times New Roman" w:hAnsi="Times New Roman" w:cs="Times New Roman"/>
          <w:sz w:val="24"/>
          <w:szCs w:val="24"/>
        </w:rPr>
        <w:t xml:space="preserve"> type 2</w:t>
      </w:r>
      <w:r w:rsidR="003E23F4" w:rsidRPr="00C5652A">
        <w:rPr>
          <w:rFonts w:ascii="Times New Roman" w:hAnsi="Times New Roman" w:cs="Times New Roman"/>
          <w:sz w:val="24"/>
          <w:szCs w:val="24"/>
        </w:rPr>
        <w:t xml:space="preserve">, </w:t>
      </w:r>
      <w:r w:rsidRPr="00C5652A">
        <w:rPr>
          <w:rFonts w:ascii="Times New Roman" w:hAnsi="Times New Roman" w:cs="Times New Roman"/>
          <w:sz w:val="24"/>
          <w:szCs w:val="24"/>
        </w:rPr>
        <w:t xml:space="preserve">or gestational diabetes. </w:t>
      </w:r>
      <w:r w:rsidR="003E23F4" w:rsidRPr="00C5652A">
        <w:rPr>
          <w:rFonts w:ascii="Times New Roman" w:hAnsi="Times New Roman" w:cs="Times New Roman"/>
          <w:sz w:val="24"/>
          <w:szCs w:val="24"/>
        </w:rPr>
        <w:t xml:space="preserve"> </w:t>
      </w:r>
      <w:r w:rsidR="0010156E" w:rsidRPr="00C5652A">
        <w:rPr>
          <w:rFonts w:ascii="Times New Roman" w:hAnsi="Times New Roman" w:cs="Times New Roman"/>
          <w:sz w:val="24"/>
          <w:szCs w:val="24"/>
        </w:rPr>
        <w:t xml:space="preserve">This paper seeks to review the method of </w:t>
      </w:r>
      <w:r w:rsidR="00125B23" w:rsidRPr="00C5652A">
        <w:rPr>
          <w:rFonts w:ascii="Times New Roman" w:hAnsi="Times New Roman" w:cs="Times New Roman"/>
          <w:sz w:val="24"/>
          <w:szCs w:val="24"/>
        </w:rPr>
        <w:t>diagnosing</w:t>
      </w:r>
      <w:r w:rsidR="0010156E" w:rsidRPr="00C5652A">
        <w:rPr>
          <w:rFonts w:ascii="Times New Roman" w:hAnsi="Times New Roman" w:cs="Times New Roman"/>
          <w:sz w:val="24"/>
          <w:szCs w:val="24"/>
        </w:rPr>
        <w:t xml:space="preserve"> diabetes</w:t>
      </w:r>
      <w:r w:rsidR="00125B23" w:rsidRPr="00C5652A">
        <w:rPr>
          <w:rFonts w:ascii="Times New Roman" w:hAnsi="Times New Roman" w:cs="Times New Roman"/>
          <w:sz w:val="24"/>
          <w:szCs w:val="24"/>
        </w:rPr>
        <w:t xml:space="preserve">, </w:t>
      </w:r>
      <w:r w:rsidR="00E66CDC" w:rsidRPr="00C5652A">
        <w:rPr>
          <w:rFonts w:ascii="Times New Roman" w:hAnsi="Times New Roman" w:cs="Times New Roman"/>
          <w:sz w:val="24"/>
          <w:szCs w:val="24"/>
        </w:rPr>
        <w:t xml:space="preserve">the </w:t>
      </w:r>
      <w:r w:rsidR="00125B23" w:rsidRPr="00C5652A">
        <w:rPr>
          <w:rFonts w:ascii="Times New Roman" w:hAnsi="Times New Roman" w:cs="Times New Roman"/>
          <w:sz w:val="24"/>
          <w:szCs w:val="24"/>
        </w:rPr>
        <w:t xml:space="preserve">national standard for screening or </w:t>
      </w:r>
      <w:r w:rsidR="00E66CDC" w:rsidRPr="00C5652A">
        <w:rPr>
          <w:rFonts w:ascii="Times New Roman" w:hAnsi="Times New Roman" w:cs="Times New Roman"/>
          <w:sz w:val="24"/>
          <w:szCs w:val="24"/>
        </w:rPr>
        <w:t>prevention</w:t>
      </w:r>
      <w:r w:rsidR="00125B23" w:rsidRPr="00C5652A">
        <w:rPr>
          <w:rFonts w:ascii="Times New Roman" w:hAnsi="Times New Roman" w:cs="Times New Roman"/>
          <w:sz w:val="24"/>
          <w:szCs w:val="24"/>
        </w:rPr>
        <w:t xml:space="preserve">, and review HBA1C as one of the screening </w:t>
      </w:r>
      <w:r w:rsidR="00E66CDC" w:rsidRPr="00C5652A">
        <w:rPr>
          <w:rFonts w:ascii="Times New Roman" w:hAnsi="Times New Roman" w:cs="Times New Roman"/>
          <w:sz w:val="24"/>
          <w:szCs w:val="24"/>
        </w:rPr>
        <w:t>tests</w:t>
      </w:r>
      <w:r w:rsidR="00125B23" w:rsidRPr="00C5652A">
        <w:rPr>
          <w:rFonts w:ascii="Times New Roman" w:hAnsi="Times New Roman" w:cs="Times New Roman"/>
          <w:sz w:val="24"/>
          <w:szCs w:val="24"/>
        </w:rPr>
        <w:t xml:space="preserve"> for diabetes. </w:t>
      </w:r>
    </w:p>
    <w:p w:rsidR="00E66CDC" w:rsidRPr="00C5652A" w:rsidRDefault="00E66CDC" w:rsidP="00C5652A">
      <w:pPr>
        <w:spacing w:after="0" w:line="480" w:lineRule="auto"/>
        <w:rPr>
          <w:rFonts w:ascii="Times New Roman" w:hAnsi="Times New Roman" w:cs="Times New Roman"/>
          <w:b/>
          <w:sz w:val="24"/>
          <w:szCs w:val="24"/>
        </w:rPr>
      </w:pPr>
      <w:r w:rsidRPr="00C5652A">
        <w:rPr>
          <w:rFonts w:ascii="Times New Roman" w:hAnsi="Times New Roman" w:cs="Times New Roman"/>
          <w:b/>
          <w:sz w:val="24"/>
          <w:szCs w:val="24"/>
        </w:rPr>
        <w:t xml:space="preserve">Diagnosis of Diabetes </w:t>
      </w:r>
    </w:p>
    <w:p w:rsidR="00E66CDC" w:rsidRPr="00C5652A" w:rsidRDefault="00E66CDC" w:rsidP="00C5652A">
      <w:pPr>
        <w:pStyle w:val="NormalWeb"/>
        <w:spacing w:before="0" w:beforeAutospacing="0" w:after="0" w:afterAutospacing="0" w:line="480" w:lineRule="auto"/>
        <w:ind w:firstLine="720"/>
      </w:pPr>
      <w:r w:rsidRPr="00C5652A">
        <w:t>The diagnosis is done through combination of medical history, physical examination, and laboratory tests</w:t>
      </w:r>
      <w:r w:rsidR="00556531" w:rsidRPr="00C5652A">
        <w:t xml:space="preserve"> (</w:t>
      </w:r>
      <w:r w:rsidR="00556531" w:rsidRPr="00C5652A">
        <w:rPr>
          <w:color w:val="222222"/>
          <w:shd w:val="clear" w:color="auto" w:fill="FFFFFF"/>
        </w:rPr>
        <w:t>Petersmann et al., 2019</w:t>
      </w:r>
      <w:r w:rsidR="00556531" w:rsidRPr="00C5652A">
        <w:rPr>
          <w:color w:val="222222"/>
          <w:shd w:val="clear" w:color="auto" w:fill="FFFFFF"/>
        </w:rPr>
        <w:t>).</w:t>
      </w:r>
      <w:r w:rsidRPr="00C5652A">
        <w:t xml:space="preserve"> Definitive diagnosis is made through blood tests such as fasting plasma glucose levels, glucose tolerance test (OGTT), glycosylated hemoglobin (HBA1C), or random glucose test.  Fasting glucose levels involves checking a patient's blood level when he or she has not had any caloric intake for at least 8 hours</w:t>
      </w:r>
      <w:r w:rsidR="00C5652A" w:rsidRPr="00C5652A">
        <w:t xml:space="preserve"> (</w:t>
      </w:r>
      <w:r w:rsidR="00C5652A" w:rsidRPr="00C5652A">
        <w:rPr>
          <w:color w:val="222222"/>
          <w:shd w:val="clear" w:color="auto" w:fill="FFFFFF"/>
        </w:rPr>
        <w:t>Khan</w:t>
      </w:r>
      <w:r w:rsidR="00C5652A" w:rsidRPr="00C5652A">
        <w:rPr>
          <w:color w:val="222222"/>
          <w:shd w:val="clear" w:color="auto" w:fill="FFFFFF"/>
        </w:rPr>
        <w:t xml:space="preserve"> et al., 2019)</w:t>
      </w:r>
      <w:r w:rsidRPr="00C5652A">
        <w:t>. OGTT involves giving the patient an oral load of 75g of glucose and checking the plasma glucose levels after 2 hours</w:t>
      </w:r>
      <w:r w:rsidR="00C5652A" w:rsidRPr="00C5652A">
        <w:t xml:space="preserve"> (</w:t>
      </w:r>
      <w:r w:rsidR="00C5652A" w:rsidRPr="00C5652A">
        <w:rPr>
          <w:color w:val="222222"/>
          <w:shd w:val="clear" w:color="auto" w:fill="FFFFFF"/>
        </w:rPr>
        <w:t>Khan et al., 2019</w:t>
      </w:r>
      <w:r w:rsidR="00C5652A" w:rsidRPr="00C5652A">
        <w:rPr>
          <w:color w:val="222222"/>
          <w:shd w:val="clear" w:color="auto" w:fill="FFFFFF"/>
        </w:rPr>
        <w:t>)</w:t>
      </w:r>
      <w:r w:rsidRPr="00C5652A">
        <w:t xml:space="preserve">. HBA1C investigates the permanent attachment of glucose to the hemoglobin molecules. A person is diagnosed with diabetes if their HBa1C exceeds 6.5%. </w:t>
      </w:r>
      <w:r w:rsidRPr="00C5652A">
        <w:t>Similarly</w:t>
      </w:r>
      <w:r w:rsidRPr="00C5652A">
        <w:t>, a person with a fasting glucose level above 7.0mmol/L (126 mg/dl) where fasting refers to non-caloric input for at least 8 hours. Consequently, diabetes is diagnosed when the plasma glucose level is above 11.1 mmol/L (200mg/dl) 2 hours after glucose load in OGTT. Patients can also be diagnosed with diabetes if they present with signs of hyperglycemia or hyperglycemia crisis</w:t>
      </w:r>
      <w:r w:rsidRPr="00C5652A">
        <w:t>,</w:t>
      </w:r>
      <w:r w:rsidRPr="00C5652A">
        <w:t xml:space="preserve"> and their random blood glucose test shows a plasma level of glucose exceeding 11.1 mmol/L (200mg/dl)</w:t>
      </w:r>
      <w:r w:rsidR="00C5652A" w:rsidRPr="00C5652A">
        <w:t xml:space="preserve"> (</w:t>
      </w:r>
      <w:r w:rsidR="00C5652A" w:rsidRPr="00C5652A">
        <w:rPr>
          <w:color w:val="222222"/>
          <w:shd w:val="clear" w:color="auto" w:fill="FFFFFF"/>
        </w:rPr>
        <w:t>Khan et al., 2019</w:t>
      </w:r>
      <w:r w:rsidR="00C5652A" w:rsidRPr="00C5652A">
        <w:rPr>
          <w:color w:val="222222"/>
          <w:shd w:val="clear" w:color="auto" w:fill="FFFFFF"/>
        </w:rPr>
        <w:t>)</w:t>
      </w:r>
      <w:r w:rsidRPr="00C5652A">
        <w:t xml:space="preserve">. </w:t>
      </w:r>
    </w:p>
    <w:p w:rsidR="00E66CDC" w:rsidRPr="00C5652A" w:rsidRDefault="00E66CDC" w:rsidP="00C5652A">
      <w:pPr>
        <w:pStyle w:val="NormalWeb"/>
        <w:spacing w:before="0" w:beforeAutospacing="0" w:after="0" w:afterAutospacing="0" w:line="480" w:lineRule="auto"/>
      </w:pPr>
      <w:r w:rsidRPr="00C5652A">
        <w:rPr>
          <w:rStyle w:val="Strong"/>
        </w:rPr>
        <w:lastRenderedPageBreak/>
        <w:t xml:space="preserve">National standards for Diabetes screening </w:t>
      </w:r>
    </w:p>
    <w:p w:rsidR="00E66CDC" w:rsidRPr="00C5652A" w:rsidRDefault="00E66CDC" w:rsidP="00C5652A">
      <w:pPr>
        <w:pStyle w:val="NormalWeb"/>
        <w:spacing w:before="0" w:beforeAutospacing="0" w:after="0" w:afterAutospacing="0" w:line="480" w:lineRule="auto"/>
        <w:ind w:firstLine="720"/>
      </w:pPr>
      <w:r w:rsidRPr="00C5652A">
        <w:t>The US Preventive Services Task Force recommends diabetes screening once every 3 years for all high-risk adults aged 40 to 70, irrespective of whether they have or do not have signs or symptoms of diabetes</w:t>
      </w:r>
      <w:r w:rsidR="00556531" w:rsidRPr="00C5652A">
        <w:t xml:space="preserve"> (</w:t>
      </w:r>
      <w:r w:rsidR="00556531" w:rsidRPr="00C5652A">
        <w:rPr>
          <w:color w:val="222222"/>
          <w:shd w:val="clear" w:color="auto" w:fill="FFFFFF"/>
        </w:rPr>
        <w:t>Davidson</w:t>
      </w:r>
      <w:r w:rsidR="00556531" w:rsidRPr="00C5652A">
        <w:rPr>
          <w:color w:val="222222"/>
          <w:shd w:val="clear" w:color="auto" w:fill="FFFFFF"/>
        </w:rPr>
        <w:t xml:space="preserve"> et al., 2021)</w:t>
      </w:r>
      <w:r w:rsidRPr="00C5652A">
        <w:t>. The high-risk groups include those who are overweight, obese, and those with a family history of diabetes. Consequently, the US Preventive Services Task Force recommends diabetes screening at or after 24 weeks of pregnancy for all pregnant women without a prior diagnosis of type 1 or 2 diabetes</w:t>
      </w:r>
      <w:r w:rsidR="00DD7FE1" w:rsidRPr="00C5652A">
        <w:t xml:space="preserve"> (</w:t>
      </w:r>
      <w:r w:rsidR="00C5652A" w:rsidRPr="00C5652A">
        <w:rPr>
          <w:color w:val="222222"/>
          <w:shd w:val="clear" w:color="auto" w:fill="FFFFFF"/>
        </w:rPr>
        <w:t>McIntyre</w:t>
      </w:r>
      <w:r w:rsidR="00C5652A" w:rsidRPr="00C5652A">
        <w:rPr>
          <w:color w:val="222222"/>
          <w:shd w:val="clear" w:color="auto" w:fill="FFFFFF"/>
        </w:rPr>
        <w:t xml:space="preserve"> et al., 2019</w:t>
      </w:r>
      <w:r w:rsidR="00DD7FE1" w:rsidRPr="00C5652A">
        <w:rPr>
          <w:color w:val="222222"/>
          <w:shd w:val="clear" w:color="auto" w:fill="FFFFFF"/>
        </w:rPr>
        <w:t>)</w:t>
      </w:r>
      <w:r w:rsidRPr="00C5652A">
        <w:t xml:space="preserve">. These tests for screening these categories include measuring fasting glucose levels or performing an oral glucose tolerance test (OGTT). Early detection and intervention can help prevent complications associated with diabetes. Additionally, lifestyle modifications, such as maintaining a healthy weight and engaging in regular physical activity, are essential for preventing the onset of diabetes. </w:t>
      </w:r>
    </w:p>
    <w:p w:rsidR="00E66CDC" w:rsidRPr="00C5652A" w:rsidRDefault="00E66CDC" w:rsidP="00C5652A">
      <w:pPr>
        <w:pStyle w:val="NormalWeb"/>
        <w:spacing w:before="0" w:beforeAutospacing="0" w:after="0" w:afterAutospacing="0" w:line="480" w:lineRule="auto"/>
      </w:pPr>
      <w:r w:rsidRPr="00C5652A">
        <w:rPr>
          <w:rStyle w:val="Strong"/>
        </w:rPr>
        <w:t xml:space="preserve">HBA1C </w:t>
      </w:r>
      <w:r w:rsidRPr="00C5652A">
        <w:rPr>
          <w:rStyle w:val="Strong"/>
        </w:rPr>
        <w:t>as a Screening Test for Diabetes</w:t>
      </w:r>
    </w:p>
    <w:p w:rsidR="00E66CDC" w:rsidRPr="00C5652A" w:rsidRDefault="00E66CDC" w:rsidP="00C5652A">
      <w:pPr>
        <w:pStyle w:val="NormalWeb"/>
        <w:spacing w:before="0" w:beforeAutospacing="0" w:after="0" w:afterAutospacing="0" w:line="480" w:lineRule="auto"/>
        <w:ind w:firstLine="720"/>
      </w:pPr>
      <w:r w:rsidRPr="00C5652A">
        <w:t>One of the most useful screening tests for diabetes is glycosylated hemoglobin (HBA1C). Glycosylated hemoglobin (HBA1C) is a reliable screening test for diabetes as it provides an average blood sugar level over the past two to three months</w:t>
      </w:r>
      <w:r w:rsidR="00C5652A" w:rsidRPr="00C5652A">
        <w:t xml:space="preserve"> (Khan et al., 2019)</w:t>
      </w:r>
      <w:r w:rsidRPr="00C5652A">
        <w:t>. It measures the percentage of hemoglobin exposed and coated with glucose, indicating long-term blood sugar control. The test has a high sensitivity, implying it can accurately identify individuals at risk of diabetes, those with diabetes, and those with poorly managed diabetes. The specificity of HBA1C is also relatively high, implying that it can accurately rule out individuals who do not have diabetes. This makes it a valuable tool for screening, diagnosing, and monitoring diabetes. The test's positive predictive value is above 6.5% for diagnosis of diabetes and 5.7-6.4%</w:t>
      </w:r>
      <w:r w:rsidR="00C5652A" w:rsidRPr="00C5652A">
        <w:t xml:space="preserve"> (</w:t>
      </w:r>
      <w:r w:rsidR="00C5652A" w:rsidRPr="00C5652A">
        <w:rPr>
          <w:color w:val="222222"/>
          <w:shd w:val="clear" w:color="auto" w:fill="FFFFFF"/>
        </w:rPr>
        <w:t>Khan et al., 2019</w:t>
      </w:r>
      <w:r w:rsidR="00C5652A" w:rsidRPr="00C5652A">
        <w:rPr>
          <w:color w:val="222222"/>
          <w:shd w:val="clear" w:color="auto" w:fill="FFFFFF"/>
        </w:rPr>
        <w:t>)</w:t>
      </w:r>
      <w:r w:rsidRPr="00C5652A">
        <w:t xml:space="preserve"> for prediabetes and high-risk patients. The cost of HBA1C testing is relatively low </w:t>
      </w:r>
      <w:r w:rsidRPr="00C5652A">
        <w:lastRenderedPageBreak/>
        <w:t>compared to other diagnostic tests for diabetes, making it a cost-effective option for healthcare providers. Additionally, the HBA1C test can be easily administered in a clinical setting, requiring only a simple blood sample, further contributing to its convenience and accessibility for patients. However, it is essential to note that certain medical conditions</w:t>
      </w:r>
      <w:r w:rsidRPr="00C5652A">
        <w:t>,</w:t>
      </w:r>
      <w:r w:rsidRPr="00C5652A">
        <w:t xml:space="preserve"> such as anemia</w:t>
      </w:r>
      <w:r w:rsidRPr="00C5652A">
        <w:t>,</w:t>
      </w:r>
      <w:r w:rsidRPr="00C5652A">
        <w:t xml:space="preserve"> and medications</w:t>
      </w:r>
      <w:r w:rsidRPr="00C5652A">
        <w:t>,</w:t>
      </w:r>
      <w:r w:rsidRPr="00C5652A">
        <w:t xml:space="preserve"> such as vitamin C can affect the specificity and sensitivity of HBA1C results. Therefore, healthcare professionals must consider these factors when interpreting the results and using HBA1C to diagnose diabetes. Despite these limitations, HBA1C remains a valuable tool in diabetes screening and management due to its high sensitivity and ability to provide a long-term picture of blood sugar control.</w:t>
      </w:r>
    </w:p>
    <w:p w:rsidR="00556531" w:rsidRPr="00C5652A" w:rsidRDefault="00556531" w:rsidP="00C5652A">
      <w:pPr>
        <w:pStyle w:val="NormalWeb"/>
        <w:spacing w:before="0" w:beforeAutospacing="0" w:after="0" w:afterAutospacing="0" w:line="480" w:lineRule="auto"/>
        <w:jc w:val="center"/>
      </w:pPr>
      <w:r w:rsidRPr="00C5652A">
        <w:t>References</w:t>
      </w:r>
    </w:p>
    <w:p w:rsidR="00C5652A" w:rsidRPr="00C5652A" w:rsidRDefault="00C5652A" w:rsidP="00C5652A">
      <w:pPr>
        <w:pStyle w:val="NormalWeb"/>
        <w:spacing w:before="0" w:beforeAutospacing="0" w:after="0" w:afterAutospacing="0" w:line="480" w:lineRule="auto"/>
        <w:ind w:left="720" w:hanging="720"/>
        <w:rPr>
          <w:color w:val="333333"/>
        </w:rPr>
      </w:pPr>
      <w:r w:rsidRPr="00C5652A">
        <w:rPr>
          <w:color w:val="222222"/>
          <w:shd w:val="clear" w:color="auto" w:fill="FFFFFF"/>
        </w:rPr>
        <w:t>Davidson, K. W., Barry, M. J., Mangione, C. M., Cabana, M., Caughey, A. B., Davis, E. M., ... &amp; US Preventive Services Task Force. (2021). Screening for prediabetes and type 2 diabetes: US Preventive Services Task Force recommendation statement. </w:t>
      </w:r>
      <w:r w:rsidRPr="00C5652A">
        <w:rPr>
          <w:i/>
          <w:iCs/>
          <w:color w:val="222222"/>
          <w:shd w:val="clear" w:color="auto" w:fill="FFFFFF"/>
        </w:rPr>
        <w:t>Jama</w:t>
      </w:r>
      <w:r w:rsidRPr="00C5652A">
        <w:rPr>
          <w:color w:val="222222"/>
          <w:shd w:val="clear" w:color="auto" w:fill="FFFFFF"/>
        </w:rPr>
        <w:t>, </w:t>
      </w:r>
      <w:r w:rsidRPr="00C5652A">
        <w:rPr>
          <w:i/>
          <w:iCs/>
          <w:color w:val="222222"/>
          <w:shd w:val="clear" w:color="auto" w:fill="FFFFFF"/>
        </w:rPr>
        <w:t>326</w:t>
      </w:r>
      <w:r w:rsidRPr="00C5652A">
        <w:rPr>
          <w:color w:val="222222"/>
          <w:shd w:val="clear" w:color="auto" w:fill="FFFFFF"/>
        </w:rPr>
        <w:t>(8), 736-743.</w:t>
      </w:r>
      <w:r w:rsidRPr="00C5652A">
        <w:rPr>
          <w:color w:val="222222"/>
          <w:shd w:val="clear" w:color="auto" w:fill="FFFFFF"/>
        </w:rPr>
        <w:t xml:space="preserve"> </w:t>
      </w:r>
      <w:hyperlink r:id="rId6" w:history="1">
        <w:r w:rsidRPr="00C5652A">
          <w:rPr>
            <w:rStyle w:val="Hyperlink"/>
            <w:shd w:val="clear" w:color="auto" w:fill="FFFFFF"/>
          </w:rPr>
          <w:t>https://doi.org</w:t>
        </w:r>
        <w:r w:rsidRPr="00C5652A">
          <w:rPr>
            <w:rStyle w:val="Hyperlink"/>
          </w:rPr>
          <w:t>/10.1001/jama.2021.12531</w:t>
        </w:r>
      </w:hyperlink>
    </w:p>
    <w:p w:rsidR="00C5652A" w:rsidRPr="00C5652A" w:rsidRDefault="00C5652A" w:rsidP="00C5652A">
      <w:pPr>
        <w:pStyle w:val="NormalWeb"/>
        <w:spacing w:before="0" w:beforeAutospacing="0" w:after="0" w:afterAutospacing="0" w:line="480" w:lineRule="auto"/>
        <w:ind w:left="720" w:hanging="720"/>
        <w:rPr>
          <w:color w:val="333333"/>
        </w:rPr>
      </w:pPr>
      <w:r w:rsidRPr="00C5652A">
        <w:rPr>
          <w:color w:val="222222"/>
          <w:shd w:val="clear" w:color="auto" w:fill="FFFFFF"/>
        </w:rPr>
        <w:t>Khan, R. M. M., Chua, Z. J. Y., Tan, J. C., Yang, Y., Liao, Z., &amp; Zhao, Y. (2019). From pre-diabetes to diabetes: diagnosis, treatments and translational research. </w:t>
      </w:r>
      <w:r w:rsidRPr="00C5652A">
        <w:rPr>
          <w:i/>
          <w:iCs/>
          <w:color w:val="222222"/>
          <w:shd w:val="clear" w:color="auto" w:fill="FFFFFF"/>
        </w:rPr>
        <w:t>Medicina</w:t>
      </w:r>
      <w:r w:rsidRPr="00C5652A">
        <w:rPr>
          <w:color w:val="222222"/>
          <w:shd w:val="clear" w:color="auto" w:fill="FFFFFF"/>
        </w:rPr>
        <w:t>, </w:t>
      </w:r>
      <w:r w:rsidRPr="00C5652A">
        <w:rPr>
          <w:i/>
          <w:iCs/>
          <w:color w:val="222222"/>
          <w:shd w:val="clear" w:color="auto" w:fill="FFFFFF"/>
        </w:rPr>
        <w:t>55</w:t>
      </w:r>
      <w:r w:rsidRPr="00C5652A">
        <w:rPr>
          <w:color w:val="222222"/>
          <w:shd w:val="clear" w:color="auto" w:fill="FFFFFF"/>
        </w:rPr>
        <w:t>(9), 546.</w:t>
      </w:r>
      <w:r w:rsidRPr="00C5652A">
        <w:t xml:space="preserve"> </w:t>
      </w:r>
      <w:hyperlink r:id="rId7" w:history="1">
        <w:r w:rsidRPr="00C5652A">
          <w:rPr>
            <w:rStyle w:val="Hyperlink"/>
            <w:shd w:val="clear" w:color="auto" w:fill="FFFFFF"/>
          </w:rPr>
          <w:t>https://doi.org/10.3390/medicina55090546</w:t>
        </w:r>
      </w:hyperlink>
      <w:r w:rsidRPr="00C5652A">
        <w:rPr>
          <w:color w:val="222222"/>
          <w:shd w:val="clear" w:color="auto" w:fill="FFFFFF"/>
        </w:rPr>
        <w:t xml:space="preserve"> </w:t>
      </w:r>
    </w:p>
    <w:p w:rsidR="00C5652A" w:rsidRPr="00C5652A" w:rsidRDefault="00C5652A" w:rsidP="00C5652A">
      <w:pPr>
        <w:pStyle w:val="NormalWeb"/>
        <w:spacing w:before="0" w:beforeAutospacing="0" w:after="0" w:afterAutospacing="0" w:line="480" w:lineRule="auto"/>
        <w:ind w:left="720" w:hanging="720"/>
        <w:rPr>
          <w:color w:val="333333"/>
        </w:rPr>
      </w:pPr>
      <w:r w:rsidRPr="00C5652A">
        <w:rPr>
          <w:color w:val="222222"/>
          <w:shd w:val="clear" w:color="auto" w:fill="FFFFFF"/>
        </w:rPr>
        <w:t>McIntyre, H. D., Catalano, P., Zhang, C., Desoye, G., Mathiesen, E. R., &amp; Damm, P. (2019). Gestational diabetes mellitus. </w:t>
      </w:r>
      <w:r w:rsidRPr="00C5652A">
        <w:rPr>
          <w:i/>
          <w:iCs/>
          <w:color w:val="222222"/>
          <w:shd w:val="clear" w:color="auto" w:fill="FFFFFF"/>
        </w:rPr>
        <w:t>Nature reviews Disease primers</w:t>
      </w:r>
      <w:r w:rsidRPr="00C5652A">
        <w:rPr>
          <w:color w:val="222222"/>
          <w:shd w:val="clear" w:color="auto" w:fill="FFFFFF"/>
        </w:rPr>
        <w:t>, </w:t>
      </w:r>
      <w:r w:rsidRPr="00C5652A">
        <w:rPr>
          <w:i/>
          <w:iCs/>
          <w:color w:val="222222"/>
          <w:shd w:val="clear" w:color="auto" w:fill="FFFFFF"/>
        </w:rPr>
        <w:t>5</w:t>
      </w:r>
      <w:r w:rsidRPr="00C5652A">
        <w:rPr>
          <w:color w:val="222222"/>
          <w:shd w:val="clear" w:color="auto" w:fill="FFFFFF"/>
        </w:rPr>
        <w:t>(1), 47.</w:t>
      </w:r>
      <w:r w:rsidRPr="00C5652A">
        <w:rPr>
          <w:color w:val="222222"/>
          <w:shd w:val="clear" w:color="auto" w:fill="FFFFFF"/>
        </w:rPr>
        <w:t xml:space="preserve"> </w:t>
      </w:r>
      <w:hyperlink r:id="rId8" w:history="1">
        <w:r w:rsidRPr="00C5652A">
          <w:rPr>
            <w:rStyle w:val="Hyperlink"/>
            <w:shd w:val="clear" w:color="auto" w:fill="FFFFFF"/>
          </w:rPr>
          <w:t>https://doi.org/10.1038/s41572-019-0098-8</w:t>
        </w:r>
      </w:hyperlink>
    </w:p>
    <w:p w:rsidR="00C5652A" w:rsidRPr="00C5652A" w:rsidRDefault="00C5652A" w:rsidP="00C5652A">
      <w:pPr>
        <w:pStyle w:val="NormalWeb"/>
        <w:spacing w:before="0" w:beforeAutospacing="0" w:after="0" w:afterAutospacing="0" w:line="480" w:lineRule="auto"/>
        <w:ind w:left="720" w:hanging="720"/>
        <w:rPr>
          <w:color w:val="000000"/>
        </w:rPr>
      </w:pPr>
      <w:r w:rsidRPr="00C5652A">
        <w:rPr>
          <w:color w:val="222222"/>
          <w:shd w:val="clear" w:color="auto" w:fill="FFFFFF"/>
        </w:rPr>
        <w:t xml:space="preserve">Petersmann, A., Müller-Wieland, D., Müller, U. A., Landgraf, R., Nauck, M., Freckmann, G., ... &amp; Schleicher, E. (2019). Definition, classification and diagnosis of diabetes </w:t>
      </w:r>
      <w:r w:rsidRPr="00C5652A">
        <w:rPr>
          <w:color w:val="222222"/>
          <w:shd w:val="clear" w:color="auto" w:fill="FFFFFF"/>
        </w:rPr>
        <w:lastRenderedPageBreak/>
        <w:t>mellitus. </w:t>
      </w:r>
      <w:r w:rsidRPr="00C5652A">
        <w:rPr>
          <w:i/>
          <w:iCs/>
          <w:color w:val="222222"/>
          <w:shd w:val="clear" w:color="auto" w:fill="FFFFFF"/>
        </w:rPr>
        <w:t>Experimental and Clinical Endocrinology &amp; Diabetes</w:t>
      </w:r>
      <w:r w:rsidRPr="00C5652A">
        <w:rPr>
          <w:color w:val="222222"/>
          <w:shd w:val="clear" w:color="auto" w:fill="FFFFFF"/>
        </w:rPr>
        <w:t>, </w:t>
      </w:r>
      <w:r w:rsidRPr="00C5652A">
        <w:rPr>
          <w:i/>
          <w:iCs/>
          <w:color w:val="222222"/>
          <w:shd w:val="clear" w:color="auto" w:fill="FFFFFF"/>
        </w:rPr>
        <w:t>127</w:t>
      </w:r>
      <w:r w:rsidRPr="00C5652A">
        <w:rPr>
          <w:color w:val="222222"/>
          <w:shd w:val="clear" w:color="auto" w:fill="FFFFFF"/>
        </w:rPr>
        <w:t>(S 01), S1-S7.</w:t>
      </w:r>
      <w:r w:rsidRPr="00C5652A">
        <w:rPr>
          <w:color w:val="222222"/>
          <w:shd w:val="clear" w:color="auto" w:fill="FFFFFF"/>
        </w:rPr>
        <w:t xml:space="preserve"> </w:t>
      </w:r>
      <w:hyperlink r:id="rId9" w:history="1">
        <w:r w:rsidRPr="00C5652A">
          <w:rPr>
            <w:rStyle w:val="Hyperlink"/>
            <w:shd w:val="clear" w:color="auto" w:fill="FFFFFF"/>
          </w:rPr>
          <w:t>https://doi.org</w:t>
        </w:r>
        <w:r w:rsidRPr="00C5652A">
          <w:rPr>
            <w:rStyle w:val="Hyperlink"/>
          </w:rPr>
          <w:t>/10.1055/a-1018-9078</w:t>
        </w:r>
      </w:hyperlink>
      <w:r w:rsidRPr="00C5652A">
        <w:rPr>
          <w:color w:val="000000"/>
        </w:rPr>
        <w:t xml:space="preserve"> </w:t>
      </w:r>
    </w:p>
    <w:p w:rsidR="00556531" w:rsidRPr="00C5652A" w:rsidRDefault="00556531" w:rsidP="00C5652A">
      <w:pPr>
        <w:pStyle w:val="NormalWeb"/>
        <w:spacing w:before="0" w:beforeAutospacing="0" w:after="0" w:afterAutospacing="0" w:line="480" w:lineRule="auto"/>
        <w:ind w:firstLine="720"/>
      </w:pPr>
    </w:p>
    <w:p w:rsidR="00125B23" w:rsidRPr="00C5652A" w:rsidRDefault="00125B23" w:rsidP="00C5652A">
      <w:pPr>
        <w:spacing w:after="0" w:line="480" w:lineRule="auto"/>
        <w:ind w:firstLine="720"/>
        <w:rPr>
          <w:rFonts w:ascii="Times New Roman" w:hAnsi="Times New Roman" w:cs="Times New Roman"/>
          <w:sz w:val="24"/>
          <w:szCs w:val="24"/>
        </w:rPr>
      </w:pPr>
    </w:p>
    <w:sectPr w:rsidR="00125B23" w:rsidRPr="00C5652A">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0F" w:rsidRDefault="0077190F" w:rsidP="00123B95">
      <w:pPr>
        <w:spacing w:after="0" w:line="240" w:lineRule="auto"/>
      </w:pPr>
      <w:r>
        <w:separator/>
      </w:r>
    </w:p>
  </w:endnote>
  <w:endnote w:type="continuationSeparator" w:id="0">
    <w:p w:rsidR="0077190F" w:rsidRDefault="0077190F" w:rsidP="0012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0F" w:rsidRDefault="0077190F" w:rsidP="00123B95">
      <w:pPr>
        <w:spacing w:after="0" w:line="240" w:lineRule="auto"/>
      </w:pPr>
      <w:r>
        <w:separator/>
      </w:r>
    </w:p>
  </w:footnote>
  <w:footnote w:type="continuationSeparator" w:id="0">
    <w:p w:rsidR="0077190F" w:rsidRDefault="0077190F" w:rsidP="0012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090909"/>
      <w:docPartObj>
        <w:docPartGallery w:val="Page Numbers (Top of Page)"/>
        <w:docPartUnique/>
      </w:docPartObj>
    </w:sdtPr>
    <w:sdtEndPr>
      <w:rPr>
        <w:noProof/>
      </w:rPr>
    </w:sdtEndPr>
    <w:sdtContent>
      <w:p w:rsidR="00123B95" w:rsidRDefault="00123B95">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123B95" w:rsidRDefault="00123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E8"/>
    <w:rsid w:val="0010156E"/>
    <w:rsid w:val="00123B95"/>
    <w:rsid w:val="00125B23"/>
    <w:rsid w:val="00206B38"/>
    <w:rsid w:val="0022045F"/>
    <w:rsid w:val="00366B08"/>
    <w:rsid w:val="003E23F4"/>
    <w:rsid w:val="00556531"/>
    <w:rsid w:val="00665DE8"/>
    <w:rsid w:val="0077190F"/>
    <w:rsid w:val="007E2E9F"/>
    <w:rsid w:val="00C5652A"/>
    <w:rsid w:val="00DD7FE1"/>
    <w:rsid w:val="00E66CDC"/>
    <w:rsid w:val="00F5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B478C"/>
  <w15:chartTrackingRefBased/>
  <w15:docId w15:val="{0B8AA26A-154D-4AF3-8D36-875CEEE1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C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CDC"/>
    <w:rPr>
      <w:b/>
      <w:bCs/>
    </w:rPr>
  </w:style>
  <w:style w:type="character" w:styleId="Hyperlink">
    <w:name w:val="Hyperlink"/>
    <w:basedOn w:val="DefaultParagraphFont"/>
    <w:uiPriority w:val="99"/>
    <w:unhideWhenUsed/>
    <w:rsid w:val="00C5652A"/>
    <w:rPr>
      <w:color w:val="0563C1" w:themeColor="hyperlink"/>
      <w:u w:val="single"/>
    </w:rPr>
  </w:style>
  <w:style w:type="paragraph" w:styleId="Header">
    <w:name w:val="header"/>
    <w:basedOn w:val="Normal"/>
    <w:link w:val="HeaderChar"/>
    <w:uiPriority w:val="99"/>
    <w:unhideWhenUsed/>
    <w:rsid w:val="0012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B95"/>
  </w:style>
  <w:style w:type="paragraph" w:styleId="Footer">
    <w:name w:val="footer"/>
    <w:basedOn w:val="Normal"/>
    <w:link w:val="FooterChar"/>
    <w:uiPriority w:val="99"/>
    <w:unhideWhenUsed/>
    <w:rsid w:val="0012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1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2-019-0098-8" TargetMode="External"/><Relationship Id="rId3" Type="http://schemas.openxmlformats.org/officeDocument/2006/relationships/webSettings" Target="webSettings.xml"/><Relationship Id="rId7" Type="http://schemas.openxmlformats.org/officeDocument/2006/relationships/hyperlink" Target="https://doi.org/10.3390/medicina5509054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jama.2021.1253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55/a-1018-9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879</Words>
  <Characters>5023</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2023-12-09T11:25:00Z</dcterms:created>
  <dcterms:modified xsi:type="dcterms:W3CDTF">2023-12-09T14:42:00Z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926d6a26-b206-4d80-9bf6-7d30f8a9b72d</vt:lpwstr>
  </property>
</Properties>
</file>