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4D" w:rsidRPr="00D77A23" w:rsidRDefault="00E47F4D" w:rsidP="00D77A23">
      <w:pPr>
        <w:spacing w:after="0" w:line="480" w:lineRule="auto"/>
        <w:rPr>
          <w:rFonts w:ascii="Times New Roman" w:hAnsi="Times New Roman" w:cs="Times New Roman"/>
          <w:sz w:val="24"/>
          <w:szCs w:val="24"/>
        </w:rPr>
      </w:pPr>
    </w:p>
    <w:p w:rsidR="00714C36" w:rsidRPr="00D77A23" w:rsidRDefault="00E47F4D" w:rsidP="00D77A23">
      <w:pPr>
        <w:spacing w:after="0" w:line="480" w:lineRule="auto"/>
        <w:jc w:val="center"/>
        <w:rPr>
          <w:rFonts w:ascii="Times New Roman" w:hAnsi="Times New Roman" w:cs="Times New Roman"/>
          <w:b/>
          <w:bCs/>
          <w:sz w:val="24"/>
          <w:szCs w:val="24"/>
        </w:rPr>
      </w:pPr>
      <w:r w:rsidRPr="00D77A23">
        <w:rPr>
          <w:rFonts w:ascii="Times New Roman" w:hAnsi="Times New Roman" w:cs="Times New Roman"/>
          <w:b/>
          <w:bCs/>
          <w:sz w:val="24"/>
          <w:szCs w:val="24"/>
        </w:rPr>
        <w:t>606 Week 5 Flashcard Presentation</w:t>
      </w:r>
      <w:r w:rsidR="00A55794" w:rsidRPr="00D77A23">
        <w:rPr>
          <w:rFonts w:ascii="Times New Roman" w:hAnsi="Times New Roman" w:cs="Times New Roman"/>
          <w:b/>
          <w:bCs/>
          <w:sz w:val="24"/>
          <w:szCs w:val="24"/>
        </w:rPr>
        <w:t xml:space="preserve"> – Iron Deficiency Anemia</w:t>
      </w:r>
    </w:p>
    <w:p w:rsidR="00A55794" w:rsidRPr="00D77A23" w:rsidRDefault="00A55794" w:rsidP="00D77A23">
      <w:pPr>
        <w:spacing w:after="0" w:line="480" w:lineRule="auto"/>
        <w:rPr>
          <w:rFonts w:ascii="Times New Roman" w:hAnsi="Times New Roman" w:cs="Times New Roman"/>
          <w:bCs/>
          <w:sz w:val="24"/>
          <w:szCs w:val="24"/>
        </w:rPr>
      </w:pPr>
      <w:r w:rsidRPr="00D77A23">
        <w:rPr>
          <w:rFonts w:ascii="Times New Roman" w:hAnsi="Times New Roman" w:cs="Times New Roman"/>
          <w:b/>
          <w:bCs/>
          <w:sz w:val="24"/>
          <w:szCs w:val="24"/>
        </w:rPr>
        <w:t xml:space="preserve">Disease Process: </w:t>
      </w:r>
      <w:r w:rsidRPr="00D77A23">
        <w:rPr>
          <w:rFonts w:ascii="Times New Roman" w:hAnsi="Times New Roman" w:cs="Times New Roman"/>
          <w:bCs/>
          <w:sz w:val="24"/>
          <w:szCs w:val="24"/>
        </w:rPr>
        <w:t>Iron deficiency anemia is</w:t>
      </w:r>
      <w:r w:rsidR="00702132" w:rsidRPr="00D77A23">
        <w:rPr>
          <w:rFonts w:ascii="Times New Roman" w:hAnsi="Times New Roman" w:cs="Times New Roman"/>
          <w:bCs/>
          <w:sz w:val="24"/>
          <w:szCs w:val="24"/>
        </w:rPr>
        <w:t xml:space="preserve"> the most common form of anemia</w:t>
      </w:r>
      <w:r w:rsidR="003A4FD6" w:rsidRPr="00D77A23">
        <w:rPr>
          <w:rFonts w:ascii="Times New Roman" w:hAnsi="Times New Roman" w:cs="Times New Roman"/>
          <w:bCs/>
          <w:sz w:val="24"/>
          <w:szCs w:val="24"/>
        </w:rPr>
        <w:t xml:space="preserve"> and nutritional deficiency globally</w:t>
      </w:r>
      <w:r w:rsidR="00702132" w:rsidRPr="00D77A23">
        <w:rPr>
          <w:rFonts w:ascii="Times New Roman" w:hAnsi="Times New Roman" w:cs="Times New Roman"/>
          <w:bCs/>
          <w:sz w:val="24"/>
          <w:szCs w:val="24"/>
        </w:rPr>
        <w:t xml:space="preserve"> that develops when there is a dearth of adequate iron in the body to bolster the normal production of </w:t>
      </w:r>
      <w:r w:rsidR="003A4FD6" w:rsidRPr="00D77A23">
        <w:rPr>
          <w:rFonts w:ascii="Times New Roman" w:hAnsi="Times New Roman" w:cs="Times New Roman"/>
          <w:bCs/>
          <w:sz w:val="24"/>
          <w:szCs w:val="24"/>
        </w:rPr>
        <w:t xml:space="preserve">hemoglobin in the </w:t>
      </w:r>
      <w:r w:rsidR="00702132" w:rsidRPr="00D77A23">
        <w:rPr>
          <w:rFonts w:ascii="Times New Roman" w:hAnsi="Times New Roman" w:cs="Times New Roman"/>
          <w:bCs/>
          <w:sz w:val="24"/>
          <w:szCs w:val="24"/>
        </w:rPr>
        <w:t>red blood cells</w:t>
      </w:r>
      <w:r w:rsidR="003A4FD6" w:rsidRPr="00D77A23">
        <w:rPr>
          <w:rFonts w:ascii="Times New Roman" w:hAnsi="Times New Roman" w:cs="Times New Roman"/>
          <w:bCs/>
          <w:sz w:val="24"/>
          <w:szCs w:val="24"/>
        </w:rPr>
        <w:t xml:space="preserve"> (Kumar et al., 2022)</w:t>
      </w:r>
      <w:r w:rsidR="00702132" w:rsidRPr="00D77A23">
        <w:rPr>
          <w:rFonts w:ascii="Times New Roman" w:hAnsi="Times New Roman" w:cs="Times New Roman"/>
          <w:bCs/>
          <w:sz w:val="24"/>
          <w:szCs w:val="24"/>
        </w:rPr>
        <w:t xml:space="preserve">. </w:t>
      </w:r>
      <w:r w:rsidR="00722C1A" w:rsidRPr="00D77A23">
        <w:rPr>
          <w:rFonts w:ascii="Times New Roman" w:hAnsi="Times New Roman" w:cs="Times New Roman"/>
          <w:bCs/>
          <w:sz w:val="24"/>
          <w:szCs w:val="24"/>
        </w:rPr>
        <w:t>Iron deficiency anemia results in microcytic and hypochromic red cells on the peripheral smear. Although the patient may have nonspecific symptoms,</w:t>
      </w:r>
      <w:r w:rsidR="00702132" w:rsidRPr="00D77A23">
        <w:rPr>
          <w:rFonts w:ascii="Times New Roman" w:hAnsi="Times New Roman" w:cs="Times New Roman"/>
          <w:bCs/>
          <w:sz w:val="24"/>
          <w:szCs w:val="24"/>
        </w:rPr>
        <w:t xml:space="preserve"> </w:t>
      </w:r>
      <w:r w:rsidR="003A4FD6" w:rsidRPr="00D77A23">
        <w:rPr>
          <w:rFonts w:ascii="Times New Roman" w:hAnsi="Times New Roman" w:cs="Times New Roman"/>
          <w:bCs/>
          <w:sz w:val="24"/>
          <w:szCs w:val="24"/>
        </w:rPr>
        <w:t xml:space="preserve">insufficient iron in the body may leave </w:t>
      </w:r>
      <w:r w:rsidR="00722C1A" w:rsidRPr="00D77A23">
        <w:rPr>
          <w:rFonts w:ascii="Times New Roman" w:hAnsi="Times New Roman" w:cs="Times New Roman"/>
          <w:bCs/>
          <w:sz w:val="24"/>
          <w:szCs w:val="24"/>
        </w:rPr>
        <w:t>them</w:t>
      </w:r>
      <w:r w:rsidR="003A4FD6" w:rsidRPr="00D77A23">
        <w:rPr>
          <w:rFonts w:ascii="Times New Roman" w:hAnsi="Times New Roman" w:cs="Times New Roman"/>
          <w:bCs/>
          <w:sz w:val="24"/>
          <w:szCs w:val="24"/>
        </w:rPr>
        <w:t xml:space="preserve"> fatigued and short of breath. Notably, it is a pervasive global health issue that poses a risk to children, the elderly, and women </w:t>
      </w:r>
      <w:r w:rsidR="00722C1A" w:rsidRPr="00D77A23">
        <w:rPr>
          <w:rFonts w:ascii="Times New Roman" w:hAnsi="Times New Roman" w:cs="Times New Roman"/>
          <w:bCs/>
          <w:sz w:val="24"/>
          <w:szCs w:val="24"/>
        </w:rPr>
        <w:t>while</w:t>
      </w:r>
      <w:r w:rsidR="003A4FD6" w:rsidRPr="00D77A23">
        <w:rPr>
          <w:rFonts w:ascii="Times New Roman" w:hAnsi="Times New Roman" w:cs="Times New Roman"/>
          <w:bCs/>
          <w:sz w:val="24"/>
          <w:szCs w:val="24"/>
        </w:rPr>
        <w:t xml:space="preserve"> being </w:t>
      </w:r>
      <w:r w:rsidR="00722C1A" w:rsidRPr="00D77A23">
        <w:rPr>
          <w:rFonts w:ascii="Times New Roman" w:hAnsi="Times New Roman" w:cs="Times New Roman"/>
          <w:bCs/>
          <w:sz w:val="24"/>
          <w:szCs w:val="24"/>
        </w:rPr>
        <w:t xml:space="preserve">a significant </w:t>
      </w:r>
      <w:r w:rsidR="003A4FD6" w:rsidRPr="00D77A23">
        <w:rPr>
          <w:rFonts w:ascii="Times New Roman" w:hAnsi="Times New Roman" w:cs="Times New Roman"/>
          <w:bCs/>
          <w:sz w:val="24"/>
          <w:szCs w:val="24"/>
        </w:rPr>
        <w:t xml:space="preserve">comorbidity in numerous health conditions (Cappellini, Musallam &amp; Taher, 2020). </w:t>
      </w:r>
    </w:p>
    <w:p w:rsidR="00722C1A" w:rsidRPr="00D77A23" w:rsidRDefault="00722C1A" w:rsidP="00D77A23">
      <w:pPr>
        <w:spacing w:after="0" w:line="480" w:lineRule="auto"/>
        <w:rPr>
          <w:rFonts w:ascii="Times New Roman" w:hAnsi="Times New Roman" w:cs="Times New Roman"/>
          <w:bCs/>
          <w:sz w:val="24"/>
          <w:szCs w:val="24"/>
        </w:rPr>
      </w:pPr>
      <w:r w:rsidRPr="00D77A23">
        <w:rPr>
          <w:rFonts w:ascii="Times New Roman" w:hAnsi="Times New Roman" w:cs="Times New Roman"/>
          <w:b/>
          <w:bCs/>
          <w:sz w:val="24"/>
          <w:szCs w:val="24"/>
        </w:rPr>
        <w:t>Pathophysiology:</w:t>
      </w:r>
      <w:r w:rsidRPr="00D77A23">
        <w:rPr>
          <w:rFonts w:ascii="Times New Roman" w:hAnsi="Times New Roman" w:cs="Times New Roman"/>
          <w:bCs/>
          <w:sz w:val="24"/>
          <w:szCs w:val="24"/>
        </w:rPr>
        <w:t xml:space="preserve"> Primarily, inadequate iron encumbers the production of hemoglobin, decreasing the amount of oxygen conveyed in the blood. </w:t>
      </w:r>
      <w:r w:rsidR="008D5A98" w:rsidRPr="00D77A23">
        <w:rPr>
          <w:rFonts w:ascii="Times New Roman" w:hAnsi="Times New Roman" w:cs="Times New Roman"/>
          <w:bCs/>
          <w:sz w:val="24"/>
          <w:szCs w:val="24"/>
        </w:rPr>
        <w:t>Even though the novel hemoglobin and red blood cells are diminishing, there is an insignificant effect on the red blood cells</w:t>
      </w:r>
      <w:r w:rsidR="00CA7DDB" w:rsidRPr="00D77A23">
        <w:rPr>
          <w:rFonts w:ascii="Times New Roman" w:hAnsi="Times New Roman" w:cs="Times New Roman"/>
          <w:bCs/>
          <w:sz w:val="24"/>
          <w:szCs w:val="24"/>
        </w:rPr>
        <w:t xml:space="preserve"> (Cappellini, Musallam &amp; Taher, 2020)</w:t>
      </w:r>
      <w:r w:rsidR="008D5A98" w:rsidRPr="00D77A23">
        <w:rPr>
          <w:rFonts w:ascii="Times New Roman" w:hAnsi="Times New Roman" w:cs="Times New Roman"/>
          <w:bCs/>
          <w:sz w:val="24"/>
          <w:szCs w:val="24"/>
        </w:rPr>
        <w:t>. Remarkably, the depletion of iron stores alters the normal process of producing red blood cells, resulting</w:t>
      </w:r>
      <w:r w:rsidRPr="00D77A23">
        <w:rPr>
          <w:rFonts w:ascii="Times New Roman" w:hAnsi="Times New Roman" w:cs="Times New Roman"/>
          <w:bCs/>
          <w:sz w:val="24"/>
          <w:szCs w:val="24"/>
        </w:rPr>
        <w:t xml:space="preserve"> in small and hypochromic red cells on the peripheral smear </w:t>
      </w:r>
      <w:r w:rsidR="004967D5" w:rsidRPr="00D77A23">
        <w:rPr>
          <w:rFonts w:ascii="Times New Roman" w:hAnsi="Times New Roman" w:cs="Times New Roman"/>
          <w:bCs/>
          <w:sz w:val="24"/>
          <w:szCs w:val="24"/>
        </w:rPr>
        <w:t>due to less hemoglobin</w:t>
      </w:r>
      <w:r w:rsidRPr="00D77A23">
        <w:rPr>
          <w:rFonts w:ascii="Times New Roman" w:hAnsi="Times New Roman" w:cs="Times New Roman"/>
          <w:bCs/>
          <w:sz w:val="24"/>
          <w:szCs w:val="24"/>
        </w:rPr>
        <w:t xml:space="preserve"> in each cell.</w:t>
      </w:r>
      <w:r w:rsidR="004967D5" w:rsidRPr="00D77A23">
        <w:rPr>
          <w:rFonts w:ascii="Times New Roman" w:hAnsi="Times New Roman" w:cs="Times New Roman"/>
          <w:bCs/>
          <w:sz w:val="24"/>
          <w:szCs w:val="24"/>
        </w:rPr>
        <w:t xml:space="preserve"> Since iron is pertinent for synthesizing hemoglobin, the </w:t>
      </w:r>
      <w:r w:rsidR="008D5A98" w:rsidRPr="00D77A23">
        <w:rPr>
          <w:rFonts w:ascii="Times New Roman" w:hAnsi="Times New Roman" w:cs="Times New Roman"/>
          <w:bCs/>
          <w:sz w:val="24"/>
          <w:szCs w:val="24"/>
        </w:rPr>
        <w:t>diminution</w:t>
      </w:r>
      <w:r w:rsidR="004967D5" w:rsidRPr="00D77A23">
        <w:rPr>
          <w:rFonts w:ascii="Times New Roman" w:hAnsi="Times New Roman" w:cs="Times New Roman"/>
          <w:bCs/>
          <w:sz w:val="24"/>
          <w:szCs w:val="24"/>
        </w:rPr>
        <w:t xml:space="preserve"> of iron stores may be induced by blood loss, dysfunctional absorption, high demand, and reduced intake. In addition, iron deficiency anemia can arise from occult gastrointestinal bleeding owing to </w:t>
      </w:r>
      <w:r w:rsidR="00CA7DDB" w:rsidRPr="00D77A23">
        <w:rPr>
          <w:rFonts w:ascii="Times New Roman" w:hAnsi="Times New Roman" w:cs="Times New Roman"/>
          <w:bCs/>
          <w:sz w:val="24"/>
          <w:szCs w:val="24"/>
        </w:rPr>
        <w:t xml:space="preserve">inflammation, </w:t>
      </w:r>
      <w:r w:rsidR="004967D5" w:rsidRPr="00D77A23">
        <w:rPr>
          <w:rFonts w:ascii="Times New Roman" w:hAnsi="Times New Roman" w:cs="Times New Roman"/>
          <w:bCs/>
          <w:sz w:val="24"/>
          <w:szCs w:val="24"/>
        </w:rPr>
        <w:t>malabsorption</w:t>
      </w:r>
      <w:r w:rsidR="00CA7DDB" w:rsidRPr="00D77A23">
        <w:rPr>
          <w:rFonts w:ascii="Times New Roman" w:hAnsi="Times New Roman" w:cs="Times New Roman"/>
          <w:bCs/>
          <w:sz w:val="24"/>
          <w:szCs w:val="24"/>
        </w:rPr>
        <w:t>,</w:t>
      </w:r>
      <w:r w:rsidR="004967D5" w:rsidRPr="00D77A23">
        <w:rPr>
          <w:rFonts w:ascii="Times New Roman" w:hAnsi="Times New Roman" w:cs="Times New Roman"/>
          <w:bCs/>
          <w:sz w:val="24"/>
          <w:szCs w:val="24"/>
        </w:rPr>
        <w:t xml:space="preserve"> and increased iron loss through bleeding</w:t>
      </w:r>
      <w:r w:rsidR="00D77A23" w:rsidRPr="00D77A23">
        <w:rPr>
          <w:rFonts w:ascii="Times New Roman" w:hAnsi="Times New Roman" w:cs="Times New Roman"/>
          <w:bCs/>
          <w:sz w:val="24"/>
          <w:szCs w:val="24"/>
        </w:rPr>
        <w:t xml:space="preserve"> (Kumar et al., 2022)</w:t>
      </w:r>
      <w:r w:rsidR="004967D5" w:rsidRPr="00D77A23">
        <w:rPr>
          <w:rFonts w:ascii="Times New Roman" w:hAnsi="Times New Roman" w:cs="Times New Roman"/>
          <w:bCs/>
          <w:sz w:val="24"/>
          <w:szCs w:val="24"/>
        </w:rPr>
        <w:t>.</w:t>
      </w:r>
      <w:r w:rsidR="008D5A98" w:rsidRPr="00D77A23">
        <w:rPr>
          <w:rFonts w:ascii="Times New Roman" w:hAnsi="Times New Roman" w:cs="Times New Roman"/>
          <w:bCs/>
          <w:sz w:val="24"/>
          <w:szCs w:val="24"/>
        </w:rPr>
        <w:t xml:space="preserve"> </w:t>
      </w:r>
      <w:r w:rsidR="00CA7DDB" w:rsidRPr="00D77A23">
        <w:rPr>
          <w:rFonts w:ascii="Times New Roman" w:hAnsi="Times New Roman" w:cs="Times New Roman"/>
          <w:bCs/>
          <w:sz w:val="24"/>
          <w:szCs w:val="24"/>
        </w:rPr>
        <w:t xml:space="preserve">More so, when red blood cells metabolize in the bloodstream, they may release iron that is excreted in the urine leading to intravascular hemolysis, which could lead to iron deficiency anemia. </w:t>
      </w:r>
    </w:p>
    <w:p w:rsidR="00CA7DDB" w:rsidRPr="00D77A23" w:rsidRDefault="005B14ED" w:rsidP="00D77A23">
      <w:pPr>
        <w:spacing w:after="0" w:line="480" w:lineRule="auto"/>
        <w:rPr>
          <w:rFonts w:ascii="Times New Roman" w:hAnsi="Times New Roman" w:cs="Times New Roman"/>
          <w:bCs/>
          <w:sz w:val="24"/>
          <w:szCs w:val="24"/>
        </w:rPr>
      </w:pPr>
      <w:r w:rsidRPr="00D77A23">
        <w:rPr>
          <w:rFonts w:ascii="Times New Roman" w:hAnsi="Times New Roman" w:cs="Times New Roman"/>
          <w:b/>
          <w:bCs/>
          <w:sz w:val="24"/>
          <w:szCs w:val="24"/>
        </w:rPr>
        <w:lastRenderedPageBreak/>
        <w:t>Risk Factors</w:t>
      </w:r>
      <w:r w:rsidRPr="00D77A23">
        <w:rPr>
          <w:rFonts w:ascii="Times New Roman" w:hAnsi="Times New Roman" w:cs="Times New Roman"/>
          <w:bCs/>
          <w:sz w:val="24"/>
          <w:szCs w:val="24"/>
        </w:rPr>
        <w:t>:</w:t>
      </w:r>
      <w:r w:rsidR="00CA7DDB" w:rsidRPr="00D77A23">
        <w:rPr>
          <w:rFonts w:ascii="Times New Roman" w:hAnsi="Times New Roman" w:cs="Times New Roman"/>
          <w:bCs/>
          <w:sz w:val="24"/>
          <w:szCs w:val="24"/>
        </w:rPr>
        <w:t xml:space="preserve"> The common risk factor of iron deficiency anemia is women since they undergo menstruation which results from blood loss. Premature or low birth weight infants lacking adequate iron from their mother’s breast milk or formula are susceptible to iron deficiency anemia</w:t>
      </w:r>
      <w:r w:rsidR="00D77A23" w:rsidRPr="00D77A23">
        <w:rPr>
          <w:rFonts w:ascii="Times New Roman" w:hAnsi="Times New Roman" w:cs="Times New Roman"/>
          <w:bCs/>
          <w:sz w:val="24"/>
          <w:szCs w:val="24"/>
        </w:rPr>
        <w:t xml:space="preserve"> (Moscheo et al., 2022)</w:t>
      </w:r>
      <w:r w:rsidR="00CA7DDB" w:rsidRPr="00D77A23">
        <w:rPr>
          <w:rFonts w:ascii="Times New Roman" w:hAnsi="Times New Roman" w:cs="Times New Roman"/>
          <w:bCs/>
          <w:sz w:val="24"/>
          <w:szCs w:val="24"/>
        </w:rPr>
        <w:t>. Frequent blood donors are also at risk of developing this illness because their iron stores can be depleted, triggering low hemoglobin concentrations. Additionally, vegetarians are highly predisposed to iron deficiency anemia</w:t>
      </w:r>
      <w:r w:rsidR="003F0603" w:rsidRPr="00D77A23">
        <w:rPr>
          <w:rFonts w:ascii="Times New Roman" w:hAnsi="Times New Roman" w:cs="Times New Roman"/>
          <w:bCs/>
          <w:sz w:val="24"/>
          <w:szCs w:val="24"/>
        </w:rPr>
        <w:t xml:space="preserve"> since they consume less iron-rich foods like meat. Besides, a diet </w:t>
      </w:r>
      <w:r w:rsidR="002D3F7E">
        <w:rPr>
          <w:rFonts w:ascii="Times New Roman" w:hAnsi="Times New Roman" w:cs="Times New Roman"/>
          <w:bCs/>
          <w:sz w:val="24"/>
          <w:szCs w:val="24"/>
        </w:rPr>
        <w:t>deficient</w:t>
      </w:r>
      <w:r w:rsidR="003F0603" w:rsidRPr="00D77A23">
        <w:rPr>
          <w:rFonts w:ascii="Times New Roman" w:hAnsi="Times New Roman" w:cs="Times New Roman"/>
          <w:bCs/>
          <w:sz w:val="24"/>
          <w:szCs w:val="24"/>
        </w:rPr>
        <w:t xml:space="preserve"> in iron, folate, copper, and vitamin B-12 elevates an individual’s risk of iron deficiency anemia.</w:t>
      </w:r>
      <w:r w:rsidR="00B13B46" w:rsidRPr="00D77A23">
        <w:rPr>
          <w:rFonts w:ascii="Times New Roman" w:hAnsi="Times New Roman" w:cs="Times New Roman"/>
          <w:bCs/>
          <w:sz w:val="24"/>
          <w:szCs w:val="24"/>
        </w:rPr>
        <w:t xml:space="preserve"> Furthermore, other crucial risk factors include inflammatory conditions, genetics, cultural diets, infections, and metabolic ailments</w:t>
      </w:r>
      <w:r w:rsidR="00D77A23" w:rsidRPr="00D77A23">
        <w:rPr>
          <w:rFonts w:ascii="Times New Roman" w:hAnsi="Times New Roman" w:cs="Times New Roman"/>
          <w:bCs/>
          <w:sz w:val="24"/>
          <w:szCs w:val="24"/>
        </w:rPr>
        <w:t xml:space="preserve"> (Kumar et al., 2022)</w:t>
      </w:r>
      <w:r w:rsidR="00B13B46" w:rsidRPr="00D77A23">
        <w:rPr>
          <w:rFonts w:ascii="Times New Roman" w:hAnsi="Times New Roman" w:cs="Times New Roman"/>
          <w:bCs/>
          <w:sz w:val="24"/>
          <w:szCs w:val="24"/>
        </w:rPr>
        <w:t>.</w:t>
      </w:r>
    </w:p>
    <w:p w:rsidR="003F0603" w:rsidRPr="00D77A23" w:rsidRDefault="003F0603" w:rsidP="00D77A23">
      <w:pPr>
        <w:spacing w:after="0" w:line="480" w:lineRule="auto"/>
        <w:rPr>
          <w:rFonts w:ascii="Times New Roman" w:hAnsi="Times New Roman" w:cs="Times New Roman"/>
          <w:bCs/>
          <w:sz w:val="24"/>
          <w:szCs w:val="24"/>
        </w:rPr>
      </w:pPr>
      <w:r w:rsidRPr="00D77A23">
        <w:rPr>
          <w:rFonts w:ascii="Times New Roman" w:hAnsi="Times New Roman" w:cs="Times New Roman"/>
          <w:b/>
          <w:bCs/>
          <w:sz w:val="24"/>
          <w:szCs w:val="24"/>
        </w:rPr>
        <w:t xml:space="preserve">Major signs and symptoms: </w:t>
      </w:r>
      <w:r w:rsidRPr="00D77A23">
        <w:rPr>
          <w:rFonts w:ascii="Times New Roman" w:hAnsi="Times New Roman" w:cs="Times New Roman"/>
          <w:bCs/>
          <w:sz w:val="24"/>
          <w:szCs w:val="24"/>
        </w:rPr>
        <w:t>The</w:t>
      </w:r>
      <w:r w:rsidRPr="00D77A23">
        <w:rPr>
          <w:rFonts w:ascii="Times New Roman" w:hAnsi="Times New Roman" w:cs="Times New Roman"/>
          <w:b/>
          <w:bCs/>
          <w:sz w:val="24"/>
          <w:szCs w:val="24"/>
        </w:rPr>
        <w:t xml:space="preserve"> </w:t>
      </w:r>
      <w:r w:rsidRPr="00D77A23">
        <w:rPr>
          <w:rFonts w:ascii="Times New Roman" w:hAnsi="Times New Roman" w:cs="Times New Roman"/>
          <w:bCs/>
          <w:sz w:val="24"/>
          <w:szCs w:val="24"/>
        </w:rPr>
        <w:t>severity</w:t>
      </w:r>
      <w:r w:rsidRPr="00D77A23">
        <w:rPr>
          <w:rFonts w:ascii="Times New Roman" w:hAnsi="Times New Roman" w:cs="Times New Roman"/>
          <w:b/>
          <w:bCs/>
          <w:sz w:val="24"/>
          <w:szCs w:val="24"/>
        </w:rPr>
        <w:t xml:space="preserve"> </w:t>
      </w:r>
      <w:r w:rsidRPr="00D77A23">
        <w:rPr>
          <w:rFonts w:ascii="Times New Roman" w:hAnsi="Times New Roman" w:cs="Times New Roman"/>
          <w:bCs/>
          <w:sz w:val="24"/>
          <w:szCs w:val="24"/>
        </w:rPr>
        <w:t>of iron deficiency anemia ranges from mild to severe. In this case, mild iron deficiency anemia has nonspecific symptoms, in which a patient can be asymptomatic</w:t>
      </w:r>
      <w:r w:rsidR="00D77A23" w:rsidRPr="00D77A23">
        <w:rPr>
          <w:rFonts w:ascii="Times New Roman" w:hAnsi="Times New Roman" w:cs="Times New Roman"/>
          <w:bCs/>
          <w:sz w:val="24"/>
          <w:szCs w:val="24"/>
        </w:rPr>
        <w:t xml:space="preserve"> (Kumar et al., 2022)</w:t>
      </w:r>
      <w:r w:rsidRPr="00D77A23">
        <w:rPr>
          <w:rFonts w:ascii="Times New Roman" w:hAnsi="Times New Roman" w:cs="Times New Roman"/>
          <w:bCs/>
          <w:sz w:val="24"/>
          <w:szCs w:val="24"/>
        </w:rPr>
        <w:t>. Severe symptoms manifest as the hemoglobin value declines</w:t>
      </w:r>
      <w:r w:rsidR="006C5F03" w:rsidRPr="00D77A23">
        <w:rPr>
          <w:rFonts w:ascii="Times New Roman" w:hAnsi="Times New Roman" w:cs="Times New Roman"/>
          <w:bCs/>
          <w:sz w:val="24"/>
          <w:szCs w:val="24"/>
        </w:rPr>
        <w:t>,</w:t>
      </w:r>
      <w:r w:rsidRPr="00D77A23">
        <w:rPr>
          <w:rFonts w:ascii="Times New Roman" w:hAnsi="Times New Roman" w:cs="Times New Roman"/>
          <w:bCs/>
          <w:sz w:val="24"/>
          <w:szCs w:val="24"/>
        </w:rPr>
        <w:t xml:space="preserve"> such that a patient may have skin and mucous membrane pallor akin to cutaneous vasoconstriction</w:t>
      </w:r>
      <w:r w:rsidR="00D77A23" w:rsidRPr="00D77A23">
        <w:rPr>
          <w:rFonts w:ascii="Times New Roman" w:hAnsi="Times New Roman" w:cs="Times New Roman"/>
          <w:bCs/>
          <w:sz w:val="24"/>
          <w:szCs w:val="24"/>
        </w:rPr>
        <w:t xml:space="preserve"> (VanMeter &amp; Hubert, 2023)</w:t>
      </w:r>
      <w:r w:rsidRPr="00D77A23">
        <w:rPr>
          <w:rFonts w:ascii="Times New Roman" w:hAnsi="Times New Roman" w:cs="Times New Roman"/>
          <w:bCs/>
          <w:sz w:val="24"/>
          <w:szCs w:val="24"/>
        </w:rPr>
        <w:t xml:space="preserve">. </w:t>
      </w:r>
      <w:r w:rsidR="006C5F03" w:rsidRPr="00D77A23">
        <w:rPr>
          <w:rFonts w:ascii="Times New Roman" w:hAnsi="Times New Roman" w:cs="Times New Roman"/>
          <w:bCs/>
          <w:sz w:val="24"/>
          <w:szCs w:val="24"/>
        </w:rPr>
        <w:t>Symptoms</w:t>
      </w:r>
      <w:r w:rsidRPr="00D77A23">
        <w:rPr>
          <w:rFonts w:ascii="Times New Roman" w:hAnsi="Times New Roman" w:cs="Times New Roman"/>
          <w:bCs/>
          <w:sz w:val="24"/>
          <w:szCs w:val="24"/>
        </w:rPr>
        <w:t xml:space="preserve"> like</w:t>
      </w:r>
      <w:r w:rsidR="006C5F03" w:rsidRPr="00D77A23">
        <w:rPr>
          <w:rFonts w:ascii="Times New Roman" w:hAnsi="Times New Roman" w:cs="Times New Roman"/>
          <w:bCs/>
          <w:sz w:val="24"/>
          <w:szCs w:val="24"/>
        </w:rPr>
        <w:t xml:space="preserve"> irritability,</w:t>
      </w:r>
      <w:r w:rsidRPr="00D77A23">
        <w:rPr>
          <w:rFonts w:ascii="Times New Roman" w:hAnsi="Times New Roman" w:cs="Times New Roman"/>
          <w:bCs/>
          <w:sz w:val="24"/>
          <w:szCs w:val="24"/>
        </w:rPr>
        <w:t xml:space="preserve"> delayed healing, heart palpitations, brittle hair, menstrual abnormalities, and dyspnea may persist. Per se, the reduction of cell metabolism may lead to lethargy, cold intolerance, and fatigue in most patients</w:t>
      </w:r>
      <w:r w:rsidR="006C5F03" w:rsidRPr="00D77A23">
        <w:rPr>
          <w:rFonts w:ascii="Times New Roman" w:hAnsi="Times New Roman" w:cs="Times New Roman"/>
          <w:bCs/>
          <w:sz w:val="24"/>
          <w:szCs w:val="24"/>
        </w:rPr>
        <w:t xml:space="preserve">. </w:t>
      </w:r>
    </w:p>
    <w:p w:rsidR="005B14ED" w:rsidRPr="00D77A23" w:rsidRDefault="00CA7DDB" w:rsidP="00D77A23">
      <w:pPr>
        <w:spacing w:after="0" w:line="480" w:lineRule="auto"/>
        <w:rPr>
          <w:rFonts w:ascii="Times New Roman" w:hAnsi="Times New Roman" w:cs="Times New Roman"/>
          <w:bCs/>
          <w:sz w:val="24"/>
          <w:szCs w:val="24"/>
        </w:rPr>
      </w:pPr>
      <w:r w:rsidRPr="00D77A23">
        <w:rPr>
          <w:rFonts w:ascii="Times New Roman" w:hAnsi="Times New Roman" w:cs="Times New Roman"/>
          <w:b/>
          <w:bCs/>
          <w:sz w:val="24"/>
          <w:szCs w:val="24"/>
        </w:rPr>
        <w:t>Diagnostic testing:</w:t>
      </w:r>
      <w:r w:rsidRPr="00D77A23">
        <w:rPr>
          <w:rFonts w:ascii="Times New Roman" w:hAnsi="Times New Roman" w:cs="Times New Roman"/>
          <w:bCs/>
          <w:sz w:val="24"/>
          <w:szCs w:val="24"/>
        </w:rPr>
        <w:t xml:space="preserve"> </w:t>
      </w:r>
      <w:r w:rsidR="006C5F03" w:rsidRPr="00D77A23">
        <w:rPr>
          <w:rFonts w:ascii="Times New Roman" w:hAnsi="Times New Roman" w:cs="Times New Roman"/>
          <w:bCs/>
          <w:sz w:val="24"/>
          <w:szCs w:val="24"/>
        </w:rPr>
        <w:t xml:space="preserve">The most germane test for diagnosing iron deficiency anemia is serum ferritin. </w:t>
      </w:r>
      <w:r w:rsidR="004B189B">
        <w:rPr>
          <w:rFonts w:ascii="Times New Roman" w:hAnsi="Times New Roman" w:cs="Times New Roman"/>
          <w:bCs/>
          <w:sz w:val="24"/>
          <w:szCs w:val="24"/>
        </w:rPr>
        <w:t xml:space="preserve">A complete blood count test measures the number of cellular rudiments in the blood. </w:t>
      </w:r>
      <w:r w:rsidR="006C5F03" w:rsidRPr="00D77A23">
        <w:rPr>
          <w:rFonts w:ascii="Times New Roman" w:hAnsi="Times New Roman" w:cs="Times New Roman"/>
          <w:bCs/>
          <w:sz w:val="24"/>
          <w:szCs w:val="24"/>
        </w:rPr>
        <w:t xml:space="preserve">Of note, </w:t>
      </w:r>
      <w:r w:rsidRPr="00D77A23">
        <w:rPr>
          <w:rFonts w:ascii="Times New Roman" w:hAnsi="Times New Roman" w:cs="Times New Roman"/>
          <w:bCs/>
          <w:sz w:val="24"/>
          <w:szCs w:val="24"/>
        </w:rPr>
        <w:t>reduced hemosiderin, serum ferritin, and iron-encompassing histiocytes in the bone marrow indicate reduced stored iron (Cappellini, Musallam &amp; Taher, 2020).</w:t>
      </w:r>
      <w:r w:rsidR="00B13B46" w:rsidRPr="00D77A23">
        <w:rPr>
          <w:rFonts w:ascii="Times New Roman" w:hAnsi="Times New Roman" w:cs="Times New Roman"/>
          <w:bCs/>
          <w:sz w:val="24"/>
          <w:szCs w:val="24"/>
        </w:rPr>
        <w:t xml:space="preserve"> In addition, conducting a red blood cell color and size test can detect iron deficiency anemia since the cells can appear paler and smaller than usual.</w:t>
      </w:r>
    </w:p>
    <w:p w:rsidR="00D77A23" w:rsidRDefault="00D77A23" w:rsidP="00D77A23">
      <w:pPr>
        <w:spacing w:after="0" w:line="480" w:lineRule="auto"/>
        <w:rPr>
          <w:rFonts w:ascii="Times New Roman" w:hAnsi="Times New Roman" w:cs="Times New Roman"/>
          <w:bCs/>
          <w:sz w:val="24"/>
          <w:szCs w:val="24"/>
        </w:rPr>
      </w:pPr>
    </w:p>
    <w:p w:rsidR="00B13B46" w:rsidRPr="00D77A23" w:rsidRDefault="00B13B46" w:rsidP="00D77A23">
      <w:pPr>
        <w:spacing w:after="0" w:line="480" w:lineRule="auto"/>
        <w:jc w:val="center"/>
        <w:rPr>
          <w:rFonts w:ascii="Times New Roman" w:hAnsi="Times New Roman" w:cs="Times New Roman"/>
          <w:b/>
          <w:bCs/>
          <w:sz w:val="24"/>
          <w:szCs w:val="24"/>
        </w:rPr>
      </w:pPr>
      <w:r w:rsidRPr="00D77A23">
        <w:rPr>
          <w:rFonts w:ascii="Times New Roman" w:hAnsi="Times New Roman" w:cs="Times New Roman"/>
          <w:b/>
          <w:bCs/>
          <w:sz w:val="24"/>
          <w:szCs w:val="24"/>
        </w:rPr>
        <w:t>References</w:t>
      </w:r>
    </w:p>
    <w:p w:rsidR="00B13B46" w:rsidRPr="00D77A23" w:rsidRDefault="00B13B46" w:rsidP="00D77A23">
      <w:pPr>
        <w:spacing w:after="0" w:line="480" w:lineRule="auto"/>
        <w:ind w:left="720" w:hanging="720"/>
        <w:rPr>
          <w:rFonts w:ascii="Times New Roman" w:hAnsi="Times New Roman" w:cs="Times New Roman"/>
          <w:sz w:val="24"/>
          <w:szCs w:val="24"/>
        </w:rPr>
      </w:pPr>
      <w:r w:rsidRPr="00D77A23">
        <w:rPr>
          <w:rFonts w:ascii="Times New Roman" w:hAnsi="Times New Roman" w:cs="Times New Roman"/>
          <w:sz w:val="24"/>
          <w:szCs w:val="24"/>
        </w:rPr>
        <w:t>Cappellini, M. D., Musallam, K. M., &amp; Taher, A. T. (2020). Iron deficiency anaemia revisited. </w:t>
      </w:r>
      <w:r w:rsidRPr="00D77A23">
        <w:rPr>
          <w:rFonts w:ascii="Times New Roman" w:hAnsi="Times New Roman" w:cs="Times New Roman"/>
          <w:i/>
          <w:iCs/>
          <w:sz w:val="24"/>
          <w:szCs w:val="24"/>
        </w:rPr>
        <w:t>Journal of Internal Medicine</w:t>
      </w:r>
      <w:r w:rsidRPr="00D77A23">
        <w:rPr>
          <w:rFonts w:ascii="Times New Roman" w:hAnsi="Times New Roman" w:cs="Times New Roman"/>
          <w:sz w:val="24"/>
          <w:szCs w:val="24"/>
        </w:rPr>
        <w:t>, </w:t>
      </w:r>
      <w:r w:rsidRPr="00D77A23">
        <w:rPr>
          <w:rFonts w:ascii="Times New Roman" w:hAnsi="Times New Roman" w:cs="Times New Roman"/>
          <w:i/>
          <w:iCs/>
          <w:sz w:val="24"/>
          <w:szCs w:val="24"/>
        </w:rPr>
        <w:t>287</w:t>
      </w:r>
      <w:r w:rsidRPr="00D77A23">
        <w:rPr>
          <w:rFonts w:ascii="Times New Roman" w:hAnsi="Times New Roman" w:cs="Times New Roman"/>
          <w:sz w:val="24"/>
          <w:szCs w:val="24"/>
        </w:rPr>
        <w:t xml:space="preserve">(2), 153–170. </w:t>
      </w:r>
      <w:hyperlink r:id="rId6" w:history="1">
        <w:r w:rsidRPr="00D77A23">
          <w:rPr>
            <w:rStyle w:val="Hyperlink"/>
            <w:rFonts w:ascii="Times New Roman" w:hAnsi="Times New Roman" w:cs="Times New Roman"/>
            <w:sz w:val="24"/>
            <w:szCs w:val="24"/>
          </w:rPr>
          <w:t>https://doi.org/10.1111/joim.13004</w:t>
        </w:r>
      </w:hyperlink>
    </w:p>
    <w:p w:rsidR="00B13B46" w:rsidRPr="00D77A23" w:rsidRDefault="00B13B46" w:rsidP="00D77A23">
      <w:pPr>
        <w:spacing w:after="0" w:line="480" w:lineRule="auto"/>
        <w:ind w:left="720" w:hanging="720"/>
        <w:rPr>
          <w:rFonts w:ascii="Times New Roman" w:hAnsi="Times New Roman" w:cs="Times New Roman"/>
          <w:sz w:val="24"/>
          <w:szCs w:val="24"/>
        </w:rPr>
      </w:pPr>
      <w:r w:rsidRPr="00D77A23">
        <w:rPr>
          <w:rFonts w:ascii="Times New Roman" w:hAnsi="Times New Roman" w:cs="Times New Roman"/>
          <w:sz w:val="24"/>
          <w:szCs w:val="24"/>
        </w:rPr>
        <w:t>Kumar, S. B., Arnipalli, S. R., Mehta, P., Carrau, S., &amp; Ziouzenkova, O. (2022). Iron deficiency anemia: Efficacy and limitations of nutritional and comprehensive mitigation strategies. </w:t>
      </w:r>
      <w:r w:rsidRPr="00D77A23">
        <w:rPr>
          <w:rFonts w:ascii="Times New Roman" w:hAnsi="Times New Roman" w:cs="Times New Roman"/>
          <w:i/>
          <w:iCs/>
          <w:sz w:val="24"/>
          <w:szCs w:val="24"/>
        </w:rPr>
        <w:t>Nutrients</w:t>
      </w:r>
      <w:r w:rsidRPr="00D77A23">
        <w:rPr>
          <w:rFonts w:ascii="Times New Roman" w:hAnsi="Times New Roman" w:cs="Times New Roman"/>
          <w:sz w:val="24"/>
          <w:szCs w:val="24"/>
        </w:rPr>
        <w:t>, </w:t>
      </w:r>
      <w:r w:rsidRPr="00D77A23">
        <w:rPr>
          <w:rFonts w:ascii="Times New Roman" w:hAnsi="Times New Roman" w:cs="Times New Roman"/>
          <w:i/>
          <w:iCs/>
          <w:sz w:val="24"/>
          <w:szCs w:val="24"/>
        </w:rPr>
        <w:t>14</w:t>
      </w:r>
      <w:r w:rsidRPr="00D77A23">
        <w:rPr>
          <w:rFonts w:ascii="Times New Roman" w:hAnsi="Times New Roman" w:cs="Times New Roman"/>
          <w:sz w:val="24"/>
          <w:szCs w:val="24"/>
        </w:rPr>
        <w:t xml:space="preserve">(14), 2976. </w:t>
      </w:r>
      <w:hyperlink r:id="rId7" w:history="1">
        <w:r w:rsidRPr="00D77A23">
          <w:rPr>
            <w:rStyle w:val="Hyperlink"/>
            <w:rFonts w:ascii="Times New Roman" w:hAnsi="Times New Roman" w:cs="Times New Roman"/>
            <w:sz w:val="24"/>
            <w:szCs w:val="24"/>
          </w:rPr>
          <w:t>https://doi.org/10.3390/nu14142976</w:t>
        </w:r>
      </w:hyperlink>
    </w:p>
    <w:p w:rsidR="00D77A23" w:rsidRPr="00D77A23" w:rsidRDefault="00D77A23" w:rsidP="00D77A23">
      <w:pPr>
        <w:spacing w:after="0" w:line="480" w:lineRule="auto"/>
        <w:ind w:left="720" w:hanging="720"/>
        <w:rPr>
          <w:rFonts w:ascii="Times New Roman" w:hAnsi="Times New Roman" w:cs="Times New Roman"/>
          <w:sz w:val="24"/>
          <w:szCs w:val="24"/>
        </w:rPr>
      </w:pPr>
      <w:r w:rsidRPr="00D77A23">
        <w:rPr>
          <w:rFonts w:ascii="Times New Roman" w:hAnsi="Times New Roman" w:cs="Times New Roman"/>
          <w:sz w:val="24"/>
          <w:szCs w:val="24"/>
        </w:rPr>
        <w:t>Moscheo, C., Licciardello, M., Samperi, P., La Spina, M., Di Cataldo, A., &amp; Russo, G. (2022). New insights into iron deficiency anemia in children: A practical review. </w:t>
      </w:r>
      <w:r w:rsidRPr="00D77A23">
        <w:rPr>
          <w:rFonts w:ascii="Times New Roman" w:hAnsi="Times New Roman" w:cs="Times New Roman"/>
          <w:i/>
          <w:iCs/>
          <w:sz w:val="24"/>
          <w:szCs w:val="24"/>
        </w:rPr>
        <w:t>Metabolites</w:t>
      </w:r>
      <w:r w:rsidRPr="00D77A23">
        <w:rPr>
          <w:rFonts w:ascii="Times New Roman" w:hAnsi="Times New Roman" w:cs="Times New Roman"/>
          <w:sz w:val="24"/>
          <w:szCs w:val="24"/>
        </w:rPr>
        <w:t>, </w:t>
      </w:r>
      <w:r w:rsidRPr="00D77A23">
        <w:rPr>
          <w:rFonts w:ascii="Times New Roman" w:hAnsi="Times New Roman" w:cs="Times New Roman"/>
          <w:i/>
          <w:iCs/>
          <w:sz w:val="24"/>
          <w:szCs w:val="24"/>
        </w:rPr>
        <w:t>12</w:t>
      </w:r>
      <w:r w:rsidRPr="00D77A23">
        <w:rPr>
          <w:rFonts w:ascii="Times New Roman" w:hAnsi="Times New Roman" w:cs="Times New Roman"/>
          <w:sz w:val="24"/>
          <w:szCs w:val="24"/>
        </w:rPr>
        <w:t xml:space="preserve">(4), 289. </w:t>
      </w:r>
      <w:hyperlink r:id="rId8" w:history="1">
        <w:r w:rsidRPr="00D77A23">
          <w:rPr>
            <w:rStyle w:val="Hyperlink"/>
            <w:rFonts w:ascii="Times New Roman" w:hAnsi="Times New Roman" w:cs="Times New Roman"/>
            <w:sz w:val="24"/>
            <w:szCs w:val="24"/>
          </w:rPr>
          <w:t>https://doi.org/10.3390/metabo12040289</w:t>
        </w:r>
      </w:hyperlink>
    </w:p>
    <w:p w:rsidR="00D77A23" w:rsidRPr="00D77A23" w:rsidRDefault="00D77A23" w:rsidP="00D77A23">
      <w:pPr>
        <w:spacing w:after="0" w:line="480" w:lineRule="auto"/>
        <w:ind w:left="720" w:hanging="720"/>
        <w:rPr>
          <w:rFonts w:ascii="Times New Roman" w:hAnsi="Times New Roman" w:cs="Times New Roman"/>
          <w:sz w:val="24"/>
          <w:szCs w:val="24"/>
        </w:rPr>
      </w:pPr>
      <w:r w:rsidRPr="00D77A23">
        <w:rPr>
          <w:rFonts w:ascii="Times New Roman" w:hAnsi="Times New Roman" w:cs="Times New Roman"/>
          <w:sz w:val="24"/>
          <w:szCs w:val="24"/>
        </w:rPr>
        <w:t>VanMeter, K. C., &amp; Hubert, R. J. (2023). </w:t>
      </w:r>
      <w:r w:rsidRPr="00D77A23">
        <w:rPr>
          <w:rFonts w:ascii="Times New Roman" w:hAnsi="Times New Roman" w:cs="Times New Roman"/>
          <w:i/>
          <w:iCs/>
          <w:sz w:val="24"/>
          <w:szCs w:val="24"/>
        </w:rPr>
        <w:t>Gould's pathophysiology for the health professions.</w:t>
      </w:r>
      <w:r w:rsidRPr="00D77A23">
        <w:rPr>
          <w:rFonts w:ascii="Times New Roman" w:hAnsi="Times New Roman" w:cs="Times New Roman"/>
          <w:sz w:val="24"/>
          <w:szCs w:val="24"/>
        </w:rPr>
        <w:t> (7th ed.). Elsevier Saunders.</w:t>
      </w:r>
    </w:p>
    <w:p w:rsidR="00B13B46" w:rsidRPr="00D77A23" w:rsidRDefault="00B13B46" w:rsidP="00D77A23">
      <w:pPr>
        <w:spacing w:after="0" w:line="480" w:lineRule="auto"/>
        <w:ind w:left="720" w:hanging="720"/>
        <w:rPr>
          <w:rFonts w:ascii="Times New Roman" w:hAnsi="Times New Roman" w:cs="Times New Roman"/>
          <w:sz w:val="24"/>
          <w:szCs w:val="24"/>
        </w:rPr>
      </w:pPr>
    </w:p>
    <w:p w:rsidR="00B13B46" w:rsidRPr="00D77A23" w:rsidRDefault="00B13B46" w:rsidP="00D77A23">
      <w:pPr>
        <w:spacing w:after="0" w:line="480" w:lineRule="auto"/>
        <w:ind w:left="720" w:hanging="720"/>
        <w:rPr>
          <w:rFonts w:ascii="Times New Roman" w:hAnsi="Times New Roman" w:cs="Times New Roman"/>
          <w:sz w:val="24"/>
          <w:szCs w:val="24"/>
        </w:rPr>
      </w:pPr>
    </w:p>
    <w:p w:rsidR="00B13B46" w:rsidRPr="00D77A23" w:rsidRDefault="00B13B46" w:rsidP="00D77A23">
      <w:pPr>
        <w:spacing w:after="0" w:line="480" w:lineRule="auto"/>
        <w:ind w:left="720" w:hanging="720"/>
        <w:rPr>
          <w:rFonts w:ascii="Times New Roman" w:hAnsi="Times New Roman" w:cs="Times New Roman"/>
          <w:sz w:val="24"/>
          <w:szCs w:val="24"/>
        </w:rPr>
      </w:pPr>
    </w:p>
    <w:p w:rsidR="00B13B46" w:rsidRDefault="00B13B46"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rPr>
          <w:rFonts w:ascii="Times New Roman" w:hAnsi="Times New Roman" w:cs="Times New Roman"/>
          <w:sz w:val="24"/>
          <w:szCs w:val="24"/>
        </w:rPr>
      </w:pPr>
    </w:p>
    <w:p w:rsidR="00D77A23" w:rsidRDefault="00D77A23" w:rsidP="00D77A23">
      <w:pPr>
        <w:spacing w:after="0" w:line="480" w:lineRule="auto"/>
        <w:jc w:val="center"/>
        <w:rPr>
          <w:rFonts w:ascii="Times New Roman" w:hAnsi="Times New Roman" w:cs="Times New Roman"/>
          <w:b/>
          <w:sz w:val="24"/>
          <w:szCs w:val="24"/>
        </w:rPr>
      </w:pPr>
      <w:r w:rsidRPr="00D77A23">
        <w:rPr>
          <w:rFonts w:ascii="Times New Roman" w:hAnsi="Times New Roman" w:cs="Times New Roman"/>
          <w:b/>
          <w:sz w:val="24"/>
          <w:szCs w:val="24"/>
        </w:rPr>
        <w:t>Case Presentation</w:t>
      </w:r>
    </w:p>
    <w:p w:rsidR="002D3F7E" w:rsidRDefault="00D77A23" w:rsidP="002D3F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L.M. is a 34-year-old Hispanic female who presented to the </w:t>
      </w:r>
      <w:r w:rsidR="0017168B">
        <w:rPr>
          <w:rFonts w:ascii="Times New Roman" w:hAnsi="Times New Roman" w:cs="Times New Roman"/>
          <w:sz w:val="24"/>
          <w:szCs w:val="24"/>
        </w:rPr>
        <w:t>facility</w:t>
      </w:r>
      <w:r>
        <w:rPr>
          <w:rFonts w:ascii="Times New Roman" w:hAnsi="Times New Roman" w:cs="Times New Roman"/>
          <w:sz w:val="24"/>
          <w:szCs w:val="24"/>
        </w:rPr>
        <w:t xml:space="preserve"> </w:t>
      </w:r>
      <w:r w:rsidR="006C2F67">
        <w:rPr>
          <w:rFonts w:ascii="Times New Roman" w:hAnsi="Times New Roman" w:cs="Times New Roman"/>
          <w:sz w:val="24"/>
          <w:szCs w:val="24"/>
        </w:rPr>
        <w:t>complaining</w:t>
      </w:r>
      <w:r>
        <w:rPr>
          <w:rFonts w:ascii="Times New Roman" w:hAnsi="Times New Roman" w:cs="Times New Roman"/>
          <w:sz w:val="24"/>
          <w:szCs w:val="24"/>
        </w:rPr>
        <w:t xml:space="preserve"> of increasing fatigue, </w:t>
      </w:r>
      <w:r w:rsidR="007D46CE">
        <w:rPr>
          <w:rFonts w:ascii="Times New Roman" w:hAnsi="Times New Roman" w:cs="Times New Roman"/>
          <w:sz w:val="24"/>
          <w:szCs w:val="24"/>
        </w:rPr>
        <w:t xml:space="preserve">menstrual irregularities, constant headache, </w:t>
      </w:r>
      <w:r>
        <w:rPr>
          <w:rFonts w:ascii="Times New Roman" w:hAnsi="Times New Roman" w:cs="Times New Roman"/>
          <w:sz w:val="24"/>
          <w:szCs w:val="24"/>
        </w:rPr>
        <w:t>pallor, and dizziness, which began three weeks ago. The patient reported that</w:t>
      </w:r>
      <w:r w:rsidR="007D46CE">
        <w:rPr>
          <w:rFonts w:ascii="Times New Roman" w:hAnsi="Times New Roman" w:cs="Times New Roman"/>
          <w:sz w:val="24"/>
          <w:szCs w:val="24"/>
        </w:rPr>
        <w:t xml:space="preserve"> she is a vegetarian</w:t>
      </w:r>
      <w:r w:rsidR="007D46CE" w:rsidRPr="007D46CE">
        <w:rPr>
          <w:rFonts w:ascii="Times New Roman" w:hAnsi="Times New Roman" w:cs="Times New Roman"/>
          <w:sz w:val="24"/>
          <w:szCs w:val="24"/>
        </w:rPr>
        <w:t xml:space="preserve"> and that her hands are always cold lately</w:t>
      </w:r>
      <w:r w:rsidR="007D46CE">
        <w:rPr>
          <w:rFonts w:ascii="Times New Roman" w:hAnsi="Times New Roman" w:cs="Times New Roman"/>
          <w:sz w:val="24"/>
          <w:szCs w:val="24"/>
        </w:rPr>
        <w:t>. L.M. postulated that she was diagnosed with endometriosis seven years ago</w:t>
      </w:r>
      <w:r w:rsidR="006C2F67">
        <w:rPr>
          <w:rFonts w:ascii="Times New Roman" w:hAnsi="Times New Roman" w:cs="Times New Roman"/>
          <w:sz w:val="24"/>
          <w:szCs w:val="24"/>
        </w:rPr>
        <w:t xml:space="preserve"> and had</w:t>
      </w:r>
      <w:r w:rsidR="007D46CE" w:rsidRPr="007D46CE">
        <w:rPr>
          <w:rFonts w:ascii="Times New Roman" w:hAnsi="Times New Roman" w:cs="Times New Roman"/>
          <w:sz w:val="24"/>
          <w:szCs w:val="24"/>
        </w:rPr>
        <w:t xml:space="preserve"> been </w:t>
      </w:r>
      <w:r w:rsidR="006C2F67">
        <w:rPr>
          <w:rFonts w:ascii="Times New Roman" w:hAnsi="Times New Roman" w:cs="Times New Roman"/>
          <w:sz w:val="24"/>
          <w:szCs w:val="24"/>
        </w:rPr>
        <w:t>having</w:t>
      </w:r>
      <w:r w:rsidR="007D46CE" w:rsidRPr="007D46CE">
        <w:rPr>
          <w:rFonts w:ascii="Times New Roman" w:hAnsi="Times New Roman" w:cs="Times New Roman"/>
          <w:sz w:val="24"/>
          <w:szCs w:val="24"/>
        </w:rPr>
        <w:t xml:space="preserve"> heavy menstrual bleeding for the past three months</w:t>
      </w:r>
      <w:r w:rsidR="007D46CE">
        <w:rPr>
          <w:rFonts w:ascii="Times New Roman" w:hAnsi="Times New Roman" w:cs="Times New Roman"/>
          <w:sz w:val="24"/>
          <w:szCs w:val="24"/>
        </w:rPr>
        <w:t xml:space="preserve">. Additionally, the client asserted that she had gastric bypass surgery two years ago. The patient’s mother has celiac disease. According to the patient, she tripped and fell at her workplace in the morning, which prompted this visit. </w:t>
      </w:r>
      <w:r w:rsidR="00FF7E2C">
        <w:rPr>
          <w:rFonts w:ascii="Times New Roman" w:hAnsi="Times New Roman" w:cs="Times New Roman"/>
          <w:sz w:val="24"/>
          <w:szCs w:val="24"/>
        </w:rPr>
        <w:t>The patient was cognizant, articulate, and oriented to time, place, and people.</w:t>
      </w:r>
      <w:r w:rsidR="006C2F67">
        <w:rPr>
          <w:rFonts w:ascii="Times New Roman" w:hAnsi="Times New Roman" w:cs="Times New Roman"/>
          <w:sz w:val="24"/>
          <w:szCs w:val="24"/>
        </w:rPr>
        <w:t xml:space="preserve"> Her vitals indicated a temperature of 37.1</w:t>
      </w:r>
      <w:r w:rsidR="006C2F67" w:rsidRPr="006C2F67">
        <w:rPr>
          <w:rFonts w:ascii="Times New Roman" w:hAnsi="Times New Roman" w:cs="Times New Roman"/>
          <w:sz w:val="24"/>
          <w:szCs w:val="24"/>
        </w:rPr>
        <w:t>°C</w:t>
      </w:r>
      <w:r w:rsidR="006C2F67">
        <w:rPr>
          <w:rFonts w:ascii="Times New Roman" w:hAnsi="Times New Roman" w:cs="Times New Roman"/>
          <w:sz w:val="24"/>
          <w:szCs w:val="24"/>
        </w:rPr>
        <w:t xml:space="preserve">, a blood pressure of 123/52 mmHg, a heart rate of 84 beats per minute, oxygen saturation of 98%, and a respiratory rate of </w:t>
      </w:r>
      <w:r w:rsidR="00A05A99">
        <w:rPr>
          <w:rFonts w:ascii="Times New Roman" w:hAnsi="Times New Roman" w:cs="Times New Roman"/>
          <w:sz w:val="24"/>
          <w:szCs w:val="24"/>
        </w:rPr>
        <w:t>26</w:t>
      </w:r>
      <w:r w:rsidR="006C2F67">
        <w:rPr>
          <w:rFonts w:ascii="Times New Roman" w:hAnsi="Times New Roman" w:cs="Times New Roman"/>
          <w:sz w:val="24"/>
          <w:szCs w:val="24"/>
        </w:rPr>
        <w:t xml:space="preserve"> breaths per minute. </w:t>
      </w:r>
      <w:r w:rsidR="00A05A99">
        <w:rPr>
          <w:rFonts w:ascii="Times New Roman" w:hAnsi="Times New Roman" w:cs="Times New Roman"/>
          <w:sz w:val="24"/>
          <w:szCs w:val="24"/>
        </w:rPr>
        <w:t>The physical examination indicated resting tachycardia, shortness of breath</w:t>
      </w:r>
      <w:r w:rsidR="006C2F67">
        <w:rPr>
          <w:rFonts w:ascii="Times New Roman" w:hAnsi="Times New Roman" w:cs="Times New Roman"/>
          <w:sz w:val="24"/>
          <w:szCs w:val="24"/>
        </w:rPr>
        <w:t xml:space="preserve">, </w:t>
      </w:r>
      <w:r w:rsidR="00A05A99">
        <w:rPr>
          <w:rFonts w:ascii="Times New Roman" w:hAnsi="Times New Roman" w:cs="Times New Roman"/>
          <w:sz w:val="24"/>
          <w:szCs w:val="24"/>
        </w:rPr>
        <w:t xml:space="preserve">and </w:t>
      </w:r>
      <w:r w:rsidR="006C2F67">
        <w:rPr>
          <w:rFonts w:ascii="Times New Roman" w:hAnsi="Times New Roman" w:cs="Times New Roman"/>
          <w:sz w:val="24"/>
          <w:szCs w:val="24"/>
        </w:rPr>
        <w:t>pallor, whereby her conjunctiva</w:t>
      </w:r>
      <w:r w:rsidR="00A05A99">
        <w:rPr>
          <w:rFonts w:ascii="Times New Roman" w:hAnsi="Times New Roman" w:cs="Times New Roman"/>
          <w:sz w:val="24"/>
          <w:szCs w:val="24"/>
        </w:rPr>
        <w:t xml:space="preserve"> and mucous membranes were pale. There were</w:t>
      </w:r>
      <w:r w:rsidR="006C2F67">
        <w:rPr>
          <w:rFonts w:ascii="Times New Roman" w:hAnsi="Times New Roman" w:cs="Times New Roman"/>
          <w:sz w:val="24"/>
          <w:szCs w:val="24"/>
        </w:rPr>
        <w:t xml:space="preserve"> </w:t>
      </w:r>
      <w:r w:rsidR="00A05A99">
        <w:rPr>
          <w:rFonts w:ascii="Times New Roman" w:hAnsi="Times New Roman" w:cs="Times New Roman"/>
          <w:sz w:val="24"/>
          <w:szCs w:val="24"/>
        </w:rPr>
        <w:t xml:space="preserve">no signs of bleeding or masses on abdominal palpation. However, she had </w:t>
      </w:r>
      <w:r w:rsidR="006C2F67">
        <w:rPr>
          <w:rFonts w:ascii="Times New Roman" w:hAnsi="Times New Roman" w:cs="Times New Roman"/>
          <w:sz w:val="24"/>
          <w:szCs w:val="24"/>
        </w:rPr>
        <w:t>a grade 2 systolic flow murmur.</w:t>
      </w:r>
      <w:r w:rsidR="00A05A99">
        <w:rPr>
          <w:rFonts w:ascii="Times New Roman" w:hAnsi="Times New Roman" w:cs="Times New Roman"/>
          <w:sz w:val="24"/>
          <w:szCs w:val="24"/>
        </w:rPr>
        <w:t xml:space="preserve"> </w:t>
      </w:r>
    </w:p>
    <w:p w:rsidR="00D77A23" w:rsidRDefault="00A05A99" w:rsidP="002D3F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her clinical manifestation, findings from the physical exam, </w:t>
      </w:r>
      <w:r w:rsidR="0017168B">
        <w:rPr>
          <w:rFonts w:ascii="Times New Roman" w:hAnsi="Times New Roman" w:cs="Times New Roman"/>
          <w:sz w:val="24"/>
          <w:szCs w:val="24"/>
        </w:rPr>
        <w:t xml:space="preserve">medical history, </w:t>
      </w:r>
      <w:r>
        <w:rPr>
          <w:rFonts w:ascii="Times New Roman" w:hAnsi="Times New Roman" w:cs="Times New Roman"/>
          <w:sz w:val="24"/>
          <w:szCs w:val="24"/>
        </w:rPr>
        <w:t>and family predisposition, the diagnosis was iron deficiency anemia</w:t>
      </w:r>
      <w:r w:rsidR="00DC52A6">
        <w:rPr>
          <w:rFonts w:ascii="Times New Roman" w:hAnsi="Times New Roman" w:cs="Times New Roman"/>
          <w:sz w:val="24"/>
          <w:szCs w:val="24"/>
        </w:rPr>
        <w:t xml:space="preserve"> </w:t>
      </w:r>
      <w:r w:rsidR="00DC52A6">
        <w:rPr>
          <w:rFonts w:ascii="Times New Roman" w:hAnsi="Times New Roman" w:cs="Times New Roman"/>
          <w:sz w:val="24"/>
          <w:szCs w:val="24"/>
        </w:rPr>
        <w:t>(Warner &amp; Kamran, 2022)</w:t>
      </w:r>
      <w:r>
        <w:rPr>
          <w:rFonts w:ascii="Times New Roman" w:hAnsi="Times New Roman" w:cs="Times New Roman"/>
          <w:sz w:val="24"/>
          <w:szCs w:val="24"/>
        </w:rPr>
        <w:t xml:space="preserve">. The serum ferritin test was ordered, which revealed L.M.’s low </w:t>
      </w:r>
      <w:r w:rsidR="004B189B">
        <w:rPr>
          <w:rFonts w:ascii="Times New Roman" w:hAnsi="Times New Roman" w:cs="Times New Roman"/>
          <w:sz w:val="24"/>
          <w:szCs w:val="24"/>
        </w:rPr>
        <w:t>ferritin</w:t>
      </w:r>
      <w:r>
        <w:rPr>
          <w:rFonts w:ascii="Times New Roman" w:hAnsi="Times New Roman" w:cs="Times New Roman"/>
          <w:sz w:val="24"/>
          <w:szCs w:val="24"/>
        </w:rPr>
        <w:t xml:space="preserve"> </w:t>
      </w:r>
      <w:r w:rsidR="004B189B">
        <w:rPr>
          <w:rFonts w:ascii="Times New Roman" w:hAnsi="Times New Roman" w:cs="Times New Roman"/>
          <w:sz w:val="24"/>
          <w:szCs w:val="24"/>
        </w:rPr>
        <w:t>levels of 6</w:t>
      </w:r>
      <w:r w:rsidR="0017168B">
        <w:rPr>
          <w:rFonts w:ascii="Times New Roman" w:hAnsi="Times New Roman" w:cs="Times New Roman"/>
          <w:sz w:val="24"/>
          <w:szCs w:val="24"/>
        </w:rPr>
        <w:t xml:space="preserve"> </w:t>
      </w:r>
      <w:r w:rsidR="004B189B">
        <w:rPr>
          <w:rFonts w:ascii="Times New Roman" w:hAnsi="Times New Roman" w:cs="Times New Roman"/>
          <w:sz w:val="24"/>
          <w:szCs w:val="24"/>
        </w:rPr>
        <w:t xml:space="preserve">ng/mL. A </w:t>
      </w:r>
      <w:r w:rsidR="002D3F7E">
        <w:rPr>
          <w:rFonts w:ascii="Times New Roman" w:hAnsi="Times New Roman" w:cs="Times New Roman"/>
          <w:sz w:val="24"/>
          <w:szCs w:val="24"/>
        </w:rPr>
        <w:t>complete</w:t>
      </w:r>
      <w:r w:rsidR="004B189B">
        <w:rPr>
          <w:rFonts w:ascii="Times New Roman" w:hAnsi="Times New Roman" w:cs="Times New Roman"/>
          <w:sz w:val="24"/>
          <w:szCs w:val="24"/>
        </w:rPr>
        <w:t xml:space="preserve"> blood count test that was ordered indicated low hemoglobin levels of 3</w:t>
      </w:r>
      <w:r w:rsidR="0017168B">
        <w:rPr>
          <w:rFonts w:ascii="Times New Roman" w:hAnsi="Times New Roman" w:cs="Times New Roman"/>
          <w:sz w:val="24"/>
          <w:szCs w:val="24"/>
        </w:rPr>
        <w:t xml:space="preserve"> </w:t>
      </w:r>
      <w:r w:rsidR="004B189B">
        <w:rPr>
          <w:rFonts w:ascii="Times New Roman" w:hAnsi="Times New Roman" w:cs="Times New Roman"/>
          <w:sz w:val="24"/>
          <w:szCs w:val="24"/>
        </w:rPr>
        <w:t>g/</w:t>
      </w:r>
      <w:r w:rsidR="0017168B">
        <w:rPr>
          <w:rFonts w:ascii="Times New Roman" w:hAnsi="Times New Roman" w:cs="Times New Roman"/>
          <w:sz w:val="24"/>
          <w:szCs w:val="24"/>
        </w:rPr>
        <w:t xml:space="preserve">dL, serum iron levels of 5 </w:t>
      </w:r>
      <w:r w:rsidR="0017168B" w:rsidRPr="0017168B">
        <w:rPr>
          <w:rFonts w:ascii="Times New Roman" w:hAnsi="Times New Roman" w:cs="Times New Roman"/>
          <w:sz w:val="24"/>
          <w:szCs w:val="24"/>
        </w:rPr>
        <w:t>μg/dL</w:t>
      </w:r>
      <w:r w:rsidR="0017168B">
        <w:rPr>
          <w:rFonts w:ascii="Times New Roman" w:hAnsi="Times New Roman" w:cs="Times New Roman"/>
          <w:sz w:val="24"/>
          <w:szCs w:val="24"/>
        </w:rPr>
        <w:t xml:space="preserve">, increased total iron-binding capacity at 452 </w:t>
      </w:r>
      <w:r w:rsidR="0017168B" w:rsidRPr="0017168B">
        <w:rPr>
          <w:rFonts w:ascii="Times New Roman" w:hAnsi="Times New Roman" w:cs="Times New Roman"/>
          <w:sz w:val="24"/>
          <w:szCs w:val="24"/>
        </w:rPr>
        <w:t>mcg/d</w:t>
      </w:r>
      <w:r w:rsidR="0017168B">
        <w:rPr>
          <w:rFonts w:ascii="Times New Roman" w:hAnsi="Times New Roman" w:cs="Times New Roman"/>
          <w:sz w:val="24"/>
          <w:szCs w:val="24"/>
        </w:rPr>
        <w:t xml:space="preserve">L, </w:t>
      </w:r>
      <w:r w:rsidR="004B189B">
        <w:rPr>
          <w:rFonts w:ascii="Times New Roman" w:hAnsi="Times New Roman" w:cs="Times New Roman"/>
          <w:sz w:val="24"/>
          <w:szCs w:val="24"/>
        </w:rPr>
        <w:t xml:space="preserve">and 6.4% of </w:t>
      </w:r>
      <w:r w:rsidR="0017168B">
        <w:rPr>
          <w:rFonts w:ascii="Times New Roman" w:hAnsi="Times New Roman" w:cs="Times New Roman"/>
          <w:sz w:val="24"/>
          <w:szCs w:val="24"/>
        </w:rPr>
        <w:t xml:space="preserve">hematocrit levels. The patient was admitted to the ER and received 2 g of iron dextran IV </w:t>
      </w:r>
      <w:r w:rsidR="002D3F7E">
        <w:rPr>
          <w:rFonts w:ascii="Times New Roman" w:hAnsi="Times New Roman" w:cs="Times New Roman"/>
          <w:sz w:val="24"/>
          <w:szCs w:val="24"/>
        </w:rPr>
        <w:t xml:space="preserve">and </w:t>
      </w:r>
      <w:r w:rsidR="0017168B">
        <w:rPr>
          <w:rFonts w:ascii="Times New Roman" w:hAnsi="Times New Roman" w:cs="Times New Roman"/>
          <w:sz w:val="24"/>
          <w:szCs w:val="24"/>
        </w:rPr>
        <w:t>150 mg/1 mL</w:t>
      </w:r>
      <w:r w:rsidR="002D3F7E" w:rsidRPr="002D3F7E">
        <w:rPr>
          <w:rFonts w:ascii="Times New Roman" w:hAnsi="Times New Roman" w:cs="Times New Roman"/>
          <w:sz w:val="24"/>
          <w:szCs w:val="24"/>
        </w:rPr>
        <w:t xml:space="preserve"> </w:t>
      </w:r>
      <w:r w:rsidR="002D3F7E">
        <w:rPr>
          <w:rFonts w:ascii="Times New Roman" w:hAnsi="Times New Roman" w:cs="Times New Roman"/>
          <w:sz w:val="24"/>
          <w:szCs w:val="24"/>
        </w:rPr>
        <w:t xml:space="preserve">of </w:t>
      </w:r>
      <w:r w:rsidR="002D3F7E" w:rsidRPr="002D3F7E">
        <w:rPr>
          <w:rFonts w:ascii="Times New Roman" w:hAnsi="Times New Roman" w:cs="Times New Roman"/>
          <w:sz w:val="24"/>
          <w:szCs w:val="24"/>
        </w:rPr>
        <w:t>medroxyprogesterone</w:t>
      </w:r>
      <w:r w:rsidR="002D3F7E">
        <w:rPr>
          <w:rFonts w:ascii="Times New Roman" w:hAnsi="Times New Roman" w:cs="Times New Roman"/>
          <w:sz w:val="24"/>
          <w:szCs w:val="24"/>
        </w:rPr>
        <w:t xml:space="preserve"> acetate</w:t>
      </w:r>
      <w:r w:rsidR="0017168B">
        <w:rPr>
          <w:rFonts w:ascii="Times New Roman" w:hAnsi="Times New Roman" w:cs="Times New Roman"/>
          <w:sz w:val="24"/>
          <w:szCs w:val="24"/>
        </w:rPr>
        <w:t xml:space="preserve"> intramuscular injection</w:t>
      </w:r>
      <w:r w:rsidR="002D3F7E">
        <w:rPr>
          <w:rFonts w:ascii="Times New Roman" w:hAnsi="Times New Roman" w:cs="Times New Roman"/>
          <w:sz w:val="24"/>
          <w:szCs w:val="24"/>
        </w:rPr>
        <w:t xml:space="preserve"> (Patel, Memon &amp; </w:t>
      </w:r>
      <w:r w:rsidR="002D3F7E" w:rsidRPr="002D3F7E">
        <w:rPr>
          <w:rFonts w:ascii="Times New Roman" w:hAnsi="Times New Roman" w:cs="Times New Roman"/>
          <w:sz w:val="24"/>
          <w:szCs w:val="24"/>
        </w:rPr>
        <w:t>Mazurkiewicz</w:t>
      </w:r>
      <w:r w:rsidR="002D3F7E">
        <w:rPr>
          <w:rFonts w:ascii="Times New Roman" w:hAnsi="Times New Roman" w:cs="Times New Roman"/>
          <w:sz w:val="24"/>
          <w:szCs w:val="24"/>
        </w:rPr>
        <w:t>, 2020). The patient’s condition improved, and she was discharged a day later with a follow-up schedule. L.M. was also encouraged to consume a diet rich in iron, such as spinach, beans, pumpkin, and raisins (Warner &amp; Kamran, 2022). In addition to those rich in vitamin C, including kiwi fruits, cauliflower, and Brussels sprouts.</w:t>
      </w:r>
    </w:p>
    <w:p w:rsidR="002D3F7E" w:rsidRDefault="002D3F7E" w:rsidP="00DC52A6">
      <w:pPr>
        <w:spacing w:after="0" w:line="480" w:lineRule="auto"/>
        <w:jc w:val="center"/>
        <w:rPr>
          <w:rFonts w:ascii="Times New Roman" w:hAnsi="Times New Roman" w:cs="Times New Roman"/>
          <w:b/>
          <w:sz w:val="24"/>
          <w:szCs w:val="24"/>
        </w:rPr>
      </w:pPr>
      <w:r w:rsidRPr="002D3F7E">
        <w:rPr>
          <w:rFonts w:ascii="Times New Roman" w:hAnsi="Times New Roman" w:cs="Times New Roman"/>
          <w:b/>
          <w:sz w:val="24"/>
          <w:szCs w:val="24"/>
        </w:rPr>
        <w:t>References</w:t>
      </w:r>
    </w:p>
    <w:p w:rsidR="002D3F7E" w:rsidRPr="002D3F7E" w:rsidRDefault="002D3F7E" w:rsidP="00DC52A6">
      <w:pPr>
        <w:spacing w:after="0" w:line="480" w:lineRule="auto"/>
        <w:ind w:left="720" w:hanging="720"/>
        <w:rPr>
          <w:rFonts w:ascii="Times New Roman" w:hAnsi="Times New Roman" w:cs="Times New Roman"/>
          <w:sz w:val="24"/>
          <w:szCs w:val="24"/>
        </w:rPr>
      </w:pPr>
      <w:r w:rsidRPr="002D3F7E">
        <w:rPr>
          <w:rFonts w:ascii="Times New Roman" w:hAnsi="Times New Roman" w:cs="Times New Roman"/>
          <w:sz w:val="24"/>
          <w:szCs w:val="24"/>
        </w:rPr>
        <w:t>Patel, K., Memon, Z., &amp; Mazurkiewicz, R. (2020). Management of iron-deficiency anemia on inpatients and appropriate discharge and follow-up. </w:t>
      </w:r>
      <w:r>
        <w:rPr>
          <w:rFonts w:ascii="Times New Roman" w:hAnsi="Times New Roman" w:cs="Times New Roman"/>
          <w:i/>
          <w:iCs/>
          <w:sz w:val="24"/>
          <w:szCs w:val="24"/>
        </w:rPr>
        <w:t>Journal of H</w:t>
      </w:r>
      <w:r w:rsidRPr="002D3F7E">
        <w:rPr>
          <w:rFonts w:ascii="Times New Roman" w:hAnsi="Times New Roman" w:cs="Times New Roman"/>
          <w:i/>
          <w:iCs/>
          <w:sz w:val="24"/>
          <w:szCs w:val="24"/>
        </w:rPr>
        <w:t>ematology</w:t>
      </w:r>
      <w:r w:rsidRPr="002D3F7E">
        <w:rPr>
          <w:rFonts w:ascii="Times New Roman" w:hAnsi="Times New Roman" w:cs="Times New Roman"/>
          <w:sz w:val="24"/>
          <w:szCs w:val="24"/>
        </w:rPr>
        <w:t>, </w:t>
      </w:r>
      <w:r w:rsidRPr="002D3F7E">
        <w:rPr>
          <w:rFonts w:ascii="Times New Roman" w:hAnsi="Times New Roman" w:cs="Times New Roman"/>
          <w:i/>
          <w:iCs/>
          <w:sz w:val="24"/>
          <w:szCs w:val="24"/>
        </w:rPr>
        <w:t>9</w:t>
      </w:r>
      <w:r w:rsidRPr="002D3F7E">
        <w:rPr>
          <w:rFonts w:ascii="Times New Roman" w:hAnsi="Times New Roman" w:cs="Times New Roman"/>
          <w:sz w:val="24"/>
          <w:szCs w:val="24"/>
        </w:rPr>
        <w:t xml:space="preserve">(1-2), 5–8. </w:t>
      </w:r>
      <w:hyperlink r:id="rId9" w:history="1">
        <w:r w:rsidRPr="002D3F7E">
          <w:rPr>
            <w:rStyle w:val="Hyperlink"/>
            <w:rFonts w:ascii="Times New Roman" w:hAnsi="Times New Roman" w:cs="Times New Roman"/>
            <w:sz w:val="24"/>
            <w:szCs w:val="24"/>
          </w:rPr>
          <w:t>https://doi.org/10.14740/jh626</w:t>
        </w:r>
      </w:hyperlink>
    </w:p>
    <w:p w:rsidR="002D3F7E" w:rsidRDefault="002D3F7E" w:rsidP="00DC52A6">
      <w:pPr>
        <w:spacing w:after="0" w:line="480" w:lineRule="auto"/>
        <w:ind w:left="720" w:hanging="720"/>
        <w:rPr>
          <w:rFonts w:ascii="Times New Roman" w:hAnsi="Times New Roman" w:cs="Times New Roman"/>
          <w:sz w:val="24"/>
          <w:szCs w:val="24"/>
        </w:rPr>
      </w:pPr>
      <w:r w:rsidRPr="002D3F7E">
        <w:rPr>
          <w:rFonts w:ascii="Times New Roman" w:hAnsi="Times New Roman" w:cs="Times New Roman"/>
          <w:sz w:val="24"/>
          <w:szCs w:val="24"/>
        </w:rPr>
        <w:t>Warner, M. J.</w:t>
      </w:r>
      <w:r>
        <w:rPr>
          <w:rFonts w:ascii="Times New Roman" w:hAnsi="Times New Roman" w:cs="Times New Roman"/>
          <w:sz w:val="24"/>
          <w:szCs w:val="24"/>
        </w:rPr>
        <w:t>, &amp; Kamran, M. T. (2022). Iron deficiency a</w:t>
      </w:r>
      <w:r w:rsidRPr="002D3F7E">
        <w:rPr>
          <w:rFonts w:ascii="Times New Roman" w:hAnsi="Times New Roman" w:cs="Times New Roman"/>
          <w:sz w:val="24"/>
          <w:szCs w:val="24"/>
        </w:rPr>
        <w:t>nemia. In </w:t>
      </w:r>
      <w:r w:rsidRPr="002D3F7E">
        <w:rPr>
          <w:rFonts w:ascii="Times New Roman" w:hAnsi="Times New Roman" w:cs="Times New Roman"/>
          <w:i/>
          <w:iCs/>
          <w:sz w:val="24"/>
          <w:szCs w:val="24"/>
        </w:rPr>
        <w:t>StatPearls</w:t>
      </w:r>
      <w:r w:rsidRPr="002D3F7E">
        <w:rPr>
          <w:rFonts w:ascii="Times New Roman" w:hAnsi="Times New Roman" w:cs="Times New Roman"/>
          <w:sz w:val="24"/>
          <w:szCs w:val="24"/>
        </w:rPr>
        <w:t>. StatPearls Publishing.</w:t>
      </w:r>
      <w:r>
        <w:rPr>
          <w:rFonts w:ascii="Times New Roman" w:hAnsi="Times New Roman" w:cs="Times New Roman"/>
          <w:sz w:val="24"/>
          <w:szCs w:val="24"/>
        </w:rPr>
        <w:t xml:space="preserve"> </w:t>
      </w:r>
      <w:hyperlink r:id="rId10" w:history="1">
        <w:r w:rsidRPr="00A1261C">
          <w:rPr>
            <w:rStyle w:val="Hyperlink"/>
            <w:rFonts w:ascii="Times New Roman" w:hAnsi="Times New Roman" w:cs="Times New Roman"/>
            <w:sz w:val="24"/>
            <w:szCs w:val="24"/>
          </w:rPr>
          <w:t>https://www.ncbi.nlm.nih.gov/books/NBK448065/</w:t>
        </w:r>
      </w:hyperlink>
    </w:p>
    <w:p w:rsidR="002D3F7E" w:rsidRPr="002D3F7E" w:rsidRDefault="002D3F7E" w:rsidP="002D3F7E">
      <w:pPr>
        <w:spacing w:after="0" w:line="480" w:lineRule="auto"/>
        <w:rPr>
          <w:rFonts w:ascii="Times New Roman" w:hAnsi="Times New Roman" w:cs="Times New Roman"/>
          <w:sz w:val="24"/>
          <w:szCs w:val="24"/>
        </w:rPr>
      </w:pPr>
    </w:p>
    <w:p w:rsidR="002D3F7E" w:rsidRPr="002D3F7E" w:rsidRDefault="002D3F7E" w:rsidP="002D3F7E">
      <w:pPr>
        <w:spacing w:after="0" w:line="480" w:lineRule="auto"/>
        <w:rPr>
          <w:rFonts w:ascii="Times New Roman" w:hAnsi="Times New Roman" w:cs="Times New Roman"/>
          <w:sz w:val="24"/>
          <w:szCs w:val="24"/>
        </w:rPr>
      </w:pPr>
      <w:bookmarkStart w:id="0" w:name="_GoBack"/>
      <w:bookmarkEnd w:id="0"/>
    </w:p>
    <w:p w:rsidR="002D3F7E" w:rsidRPr="002D3F7E" w:rsidRDefault="002D3F7E" w:rsidP="00D77A23">
      <w:pPr>
        <w:spacing w:after="0" w:line="480" w:lineRule="auto"/>
        <w:rPr>
          <w:rFonts w:ascii="Times New Roman" w:hAnsi="Times New Roman" w:cs="Times New Roman"/>
          <w:b/>
          <w:sz w:val="24"/>
          <w:szCs w:val="24"/>
        </w:rPr>
      </w:pPr>
    </w:p>
    <w:sectPr w:rsidR="002D3F7E" w:rsidRPr="002D3F7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3A4" w:rsidRDefault="002A33A4" w:rsidP="00D77A23">
      <w:pPr>
        <w:spacing w:after="0" w:line="240" w:lineRule="auto"/>
      </w:pPr>
      <w:r>
        <w:separator/>
      </w:r>
    </w:p>
  </w:endnote>
  <w:endnote w:type="continuationSeparator" w:id="0">
    <w:p w:rsidR="002A33A4" w:rsidRDefault="002A33A4" w:rsidP="00D7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3A4" w:rsidRDefault="002A33A4" w:rsidP="00D77A23">
      <w:pPr>
        <w:spacing w:after="0" w:line="240" w:lineRule="auto"/>
      </w:pPr>
      <w:r>
        <w:separator/>
      </w:r>
    </w:p>
  </w:footnote>
  <w:footnote w:type="continuationSeparator" w:id="0">
    <w:p w:rsidR="002A33A4" w:rsidRDefault="002A33A4" w:rsidP="00D7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472209"/>
      <w:docPartObj>
        <w:docPartGallery w:val="Page Numbers (Top of Page)"/>
        <w:docPartUnique/>
      </w:docPartObj>
    </w:sdtPr>
    <w:sdtEndPr>
      <w:rPr>
        <w:noProof/>
      </w:rPr>
    </w:sdtEndPr>
    <w:sdtContent>
      <w:p w:rsidR="002D3F7E" w:rsidRDefault="002D3F7E">
        <w:pPr>
          <w:pStyle w:val="Header"/>
          <w:jc w:val="right"/>
        </w:pPr>
        <w:r>
          <w:fldChar w:fldCharType="begin"/>
        </w:r>
        <w:r>
          <w:instrText xml:space="preserve"> PAGE   \* MERGEFORMAT </w:instrText>
        </w:r>
        <w:r>
          <w:fldChar w:fldCharType="separate"/>
        </w:r>
        <w:r w:rsidR="002A33A4">
          <w:rPr>
            <w:noProof/>
          </w:rPr>
          <w:t>1</w:t>
        </w:r>
        <w:r>
          <w:rPr>
            <w:noProof/>
          </w:rPr>
          <w:fldChar w:fldCharType="end"/>
        </w:r>
      </w:p>
    </w:sdtContent>
  </w:sdt>
  <w:p w:rsidR="002D3F7E" w:rsidRDefault="002D3F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4D"/>
    <w:rsid w:val="0017168B"/>
    <w:rsid w:val="002A33A4"/>
    <w:rsid w:val="002D3F7E"/>
    <w:rsid w:val="003A4FD6"/>
    <w:rsid w:val="003F0603"/>
    <w:rsid w:val="004967D5"/>
    <w:rsid w:val="004B189B"/>
    <w:rsid w:val="00543BBA"/>
    <w:rsid w:val="005B14ED"/>
    <w:rsid w:val="006C2F67"/>
    <w:rsid w:val="006C5F03"/>
    <w:rsid w:val="00702132"/>
    <w:rsid w:val="00714C36"/>
    <w:rsid w:val="00722C1A"/>
    <w:rsid w:val="007D46CE"/>
    <w:rsid w:val="008D5A98"/>
    <w:rsid w:val="00A05A99"/>
    <w:rsid w:val="00A55794"/>
    <w:rsid w:val="00B13B46"/>
    <w:rsid w:val="00CA7DDB"/>
    <w:rsid w:val="00D77A23"/>
    <w:rsid w:val="00DC52A6"/>
    <w:rsid w:val="00E47F4D"/>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30E6"/>
  <w15:chartTrackingRefBased/>
  <w15:docId w15:val="{D400AD9E-8270-47EF-B55D-2ED7F615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B46"/>
    <w:rPr>
      <w:color w:val="0563C1" w:themeColor="hyperlink"/>
      <w:u w:val="single"/>
    </w:rPr>
  </w:style>
  <w:style w:type="paragraph" w:styleId="Header">
    <w:name w:val="header"/>
    <w:basedOn w:val="Normal"/>
    <w:link w:val="HeaderChar"/>
    <w:uiPriority w:val="99"/>
    <w:unhideWhenUsed/>
    <w:rsid w:val="00D7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A23"/>
  </w:style>
  <w:style w:type="paragraph" w:styleId="Footer">
    <w:name w:val="footer"/>
    <w:basedOn w:val="Normal"/>
    <w:link w:val="FooterChar"/>
    <w:uiPriority w:val="99"/>
    <w:unhideWhenUsed/>
    <w:rsid w:val="00D7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12240">
      <w:bodyDiv w:val="1"/>
      <w:marLeft w:val="0"/>
      <w:marRight w:val="0"/>
      <w:marTop w:val="0"/>
      <w:marBottom w:val="0"/>
      <w:divBdr>
        <w:top w:val="none" w:sz="0" w:space="0" w:color="auto"/>
        <w:left w:val="none" w:sz="0" w:space="0" w:color="auto"/>
        <w:bottom w:val="none" w:sz="0" w:space="0" w:color="auto"/>
        <w:right w:val="none" w:sz="0" w:space="0" w:color="auto"/>
      </w:divBdr>
      <w:divsChild>
        <w:div w:id="14915585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49339824">
      <w:bodyDiv w:val="1"/>
      <w:marLeft w:val="0"/>
      <w:marRight w:val="0"/>
      <w:marTop w:val="0"/>
      <w:marBottom w:val="0"/>
      <w:divBdr>
        <w:top w:val="none" w:sz="0" w:space="0" w:color="auto"/>
        <w:left w:val="none" w:sz="0" w:space="0" w:color="auto"/>
        <w:bottom w:val="none" w:sz="0" w:space="0" w:color="auto"/>
        <w:right w:val="none" w:sz="0" w:space="0" w:color="auto"/>
      </w:divBdr>
      <w:divsChild>
        <w:div w:id="7775634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75893896">
      <w:bodyDiv w:val="1"/>
      <w:marLeft w:val="0"/>
      <w:marRight w:val="0"/>
      <w:marTop w:val="0"/>
      <w:marBottom w:val="0"/>
      <w:divBdr>
        <w:top w:val="none" w:sz="0" w:space="0" w:color="auto"/>
        <w:left w:val="none" w:sz="0" w:space="0" w:color="auto"/>
        <w:bottom w:val="none" w:sz="0" w:space="0" w:color="auto"/>
        <w:right w:val="none" w:sz="0" w:space="0" w:color="auto"/>
      </w:divBdr>
      <w:divsChild>
        <w:div w:id="204108565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00150988">
      <w:bodyDiv w:val="1"/>
      <w:marLeft w:val="0"/>
      <w:marRight w:val="0"/>
      <w:marTop w:val="0"/>
      <w:marBottom w:val="0"/>
      <w:divBdr>
        <w:top w:val="none" w:sz="0" w:space="0" w:color="auto"/>
        <w:left w:val="none" w:sz="0" w:space="0" w:color="auto"/>
        <w:bottom w:val="none" w:sz="0" w:space="0" w:color="auto"/>
        <w:right w:val="none" w:sz="0" w:space="0" w:color="auto"/>
      </w:divBdr>
      <w:divsChild>
        <w:div w:id="104032282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5700467">
      <w:bodyDiv w:val="1"/>
      <w:marLeft w:val="0"/>
      <w:marRight w:val="0"/>
      <w:marTop w:val="0"/>
      <w:marBottom w:val="0"/>
      <w:divBdr>
        <w:top w:val="none" w:sz="0" w:space="0" w:color="auto"/>
        <w:left w:val="none" w:sz="0" w:space="0" w:color="auto"/>
        <w:bottom w:val="none" w:sz="0" w:space="0" w:color="auto"/>
        <w:right w:val="none" w:sz="0" w:space="0" w:color="auto"/>
      </w:divBdr>
      <w:divsChild>
        <w:div w:id="57882712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26566673">
      <w:bodyDiv w:val="1"/>
      <w:marLeft w:val="0"/>
      <w:marRight w:val="0"/>
      <w:marTop w:val="0"/>
      <w:marBottom w:val="0"/>
      <w:divBdr>
        <w:top w:val="none" w:sz="0" w:space="0" w:color="auto"/>
        <w:left w:val="none" w:sz="0" w:space="0" w:color="auto"/>
        <w:bottom w:val="none" w:sz="0" w:space="0" w:color="auto"/>
        <w:right w:val="none" w:sz="0" w:space="0" w:color="auto"/>
      </w:divBdr>
      <w:divsChild>
        <w:div w:id="14065374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tabo120402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3390/nu1414297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im.1300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cbi.nlm.nih.gov/books/NBK448065/" TargetMode="External"/><Relationship Id="rId4" Type="http://schemas.openxmlformats.org/officeDocument/2006/relationships/footnotes" Target="footnotes.xml"/><Relationship Id="rId9" Type="http://schemas.openxmlformats.org/officeDocument/2006/relationships/hyperlink" Target="https://doi.org/10.14740/jh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2023-02-01T01:09:00Z</dcterms:created>
  <dcterms:modified xsi:type="dcterms:W3CDTF">2023-02-01T05:07:00Z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9b09ccfc-d2d9-4e37-ad79-0236658a5e99</vt:lpwstr>
  </property>
</Properties>
</file>