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042" w:rsidRDefault="00E61042" w:rsidP="006364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61042" w:rsidRDefault="00E61042" w:rsidP="006364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61042" w:rsidRDefault="00E61042" w:rsidP="006364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E61042" w:rsidRDefault="00E61042" w:rsidP="006364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2195" w:rsidRDefault="00882195" w:rsidP="008821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882195" w:rsidRDefault="00882195" w:rsidP="008821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2A59C2" w:rsidRDefault="00641F61" w:rsidP="0088219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36400">
        <w:rPr>
          <w:rFonts w:ascii="Times New Roman" w:hAnsi="Times New Roman" w:cs="Times New Roman"/>
          <w:b/>
          <w:sz w:val="24"/>
          <w:szCs w:val="24"/>
          <w:lang w:val="en-GB"/>
        </w:rPr>
        <w:t>Week 11 Practicum Class 6635</w:t>
      </w:r>
    </w:p>
    <w:p w:rsidR="00E61042" w:rsidRDefault="00E61042" w:rsidP="008821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3621" w:rsidRPr="00C47A1C" w:rsidRDefault="00EF3621" w:rsidP="008821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Student’s </w:t>
      </w:r>
      <w:r w:rsidRPr="00C47A1C">
        <w:rPr>
          <w:rFonts w:ascii="Times New Roman" w:hAnsi="Times New Roman" w:cs="Times New Roman"/>
          <w:sz w:val="24"/>
          <w:szCs w:val="24"/>
        </w:rPr>
        <w:t>Name</w:t>
      </w:r>
    </w:p>
    <w:p w:rsidR="00EF3621" w:rsidRDefault="00EF3621" w:rsidP="008821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Institution</w:t>
      </w:r>
    </w:p>
    <w:p w:rsidR="00EF3621" w:rsidRDefault="00EF3621" w:rsidP="008821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EF3621" w:rsidRDefault="00EF3621" w:rsidP="008821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Professor’s Name</w:t>
      </w:r>
    </w:p>
    <w:p w:rsidR="00EF3621" w:rsidRDefault="00EF3621" w:rsidP="0088219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EF3621" w:rsidRDefault="00EF3621" w:rsidP="00636400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5A3357" w:rsidRDefault="005A3357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br w:type="page"/>
      </w:r>
    </w:p>
    <w:p w:rsidR="00C759F7" w:rsidRPr="00636400" w:rsidRDefault="00C759F7" w:rsidP="00EF362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636400"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Week 11 Practicum Class 6635</w:t>
      </w:r>
    </w:p>
    <w:p w:rsidR="00B36B27" w:rsidRPr="00636400" w:rsidRDefault="00641F61" w:rsidP="003D65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When I began my practicum, I struggled to select and implement screening instruments and interpret results. However, as time went by, my skills and confidence improved significantly because of several factors. </w:t>
      </w:r>
      <w:r w:rsidR="00314F3B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These factors include the guidance from my mentors and experienced practitioners in the facility, exposure to different clinical scenarios and the hands-on-skills opportunities I received. </w:t>
      </w:r>
      <w:r w:rsidR="0099666F" w:rsidRPr="00636400">
        <w:rPr>
          <w:rFonts w:ascii="Times New Roman" w:hAnsi="Times New Roman" w:cs="Times New Roman"/>
          <w:sz w:val="24"/>
          <w:szCs w:val="24"/>
          <w:lang w:val="en-GB"/>
        </w:rPr>
        <w:t>To begin with, I achieved the first goal considerably because, by the end of the practicum, I could select the correct screening instrument fo</w:t>
      </w:r>
      <w:r w:rsidR="00644D90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r different clinical scenarios. Also, I implemented the selected clinical instrument effectively and efficiently </w:t>
      </w:r>
      <w:r w:rsidR="00CD5FC8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by interpreting and presenting the </w:t>
      </w:r>
      <w:r w:rsidR="00D44D42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screening results effectively and efficiently. </w:t>
      </w:r>
      <w:r w:rsidR="00FC1FAE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Next, I achieved the second goal to a moderate extent because I was able to craft SMART goals and reflect on my learning experience. Still, I need some improvement in the areas where I must evaluate the outcomes of the practicum goals and modify them where necessary. </w:t>
      </w:r>
      <w:r w:rsidR="00091D0F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Lastly, I achieved the third goal to a high degree because I provided appropriate recommendations during the treatment process, recognized the need for referrals and documented recommendations appropriately. </w:t>
      </w:r>
    </w:p>
    <w:p w:rsidR="00A12F64" w:rsidRPr="00636400" w:rsidRDefault="00641F61" w:rsidP="003D65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Although I encountered several challenging patients during the practicum, some three patients put me in a challenging situation. The first patient was a young adult diagnosed with substance abuse and schizophrenia with a history </w:t>
      </w:r>
      <w:r w:rsidR="00F04267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of medication non-compliance. The case was </w:t>
      </w:r>
      <w:r w:rsidR="00DD7528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challenging because the treatment for substance abuse could worsen the symptoms of schizophrenia and </w:t>
      </w:r>
      <w:r w:rsidR="00CE5720" w:rsidRPr="00636400">
        <w:rPr>
          <w:rFonts w:ascii="Times New Roman" w:hAnsi="Times New Roman" w:cs="Times New Roman"/>
          <w:sz w:val="24"/>
          <w:szCs w:val="24"/>
          <w:lang w:val="en-GB"/>
        </w:rPr>
        <w:t>vice</w:t>
      </w:r>
      <w:r w:rsidR="00DD7528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 versa</w:t>
      </w:r>
      <w:r w:rsidR="004F0B1D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F0B1D" w:rsidRPr="004F0B1D">
        <w:rPr>
          <w:rFonts w:ascii="Times New Roman" w:hAnsi="Times New Roman" w:cs="Times New Roman"/>
          <w:sz w:val="24"/>
          <w:szCs w:val="24"/>
          <w:lang w:val="en-GB"/>
        </w:rPr>
        <w:t>(Khokhar et al., 2018)</w:t>
      </w:r>
      <w:r w:rsidR="00DD7528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CE5720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The second patient was an elderly male with a history of anxiety, depression and cognitive decline. This case was challenging because the patient was resistant to treatment and was usually combative and agitated during appointment sessions. </w:t>
      </w:r>
      <w:r w:rsidR="007B1E4A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The last patient was a child who had challenging behaviours and developmental delays. </w:t>
      </w:r>
      <w:r w:rsidR="009F5652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This case was challenging because the family struggled </w:t>
      </w:r>
      <w:r w:rsidR="001734CD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to provide the </w:t>
      </w:r>
      <w:r w:rsidR="001734CD" w:rsidRPr="00636400">
        <w:rPr>
          <w:rFonts w:ascii="Times New Roman" w:hAnsi="Times New Roman" w:cs="Times New Roman"/>
          <w:sz w:val="24"/>
          <w:szCs w:val="24"/>
          <w:lang w:val="en-GB"/>
        </w:rPr>
        <w:lastRenderedPageBreak/>
        <w:t>necessary support resources for their child. Therefore, it was challenging to find a balance between the patient's needs and the family's rights</w:t>
      </w:r>
      <w:r w:rsidR="00137C9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137C9F" w:rsidRPr="00137C9F">
        <w:rPr>
          <w:rFonts w:ascii="Times New Roman" w:hAnsi="Times New Roman" w:cs="Times New Roman"/>
          <w:sz w:val="24"/>
          <w:szCs w:val="24"/>
          <w:lang w:val="en-GB"/>
        </w:rPr>
        <w:t>(McConnell, 2020)</w:t>
      </w:r>
      <w:r w:rsidR="001734CD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</w:p>
    <w:p w:rsidR="00B71CD4" w:rsidRDefault="00641F61" w:rsidP="003D651C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lang w:val="en-GB"/>
        </w:rPr>
      </w:pPr>
      <w:r w:rsidRPr="00636400">
        <w:rPr>
          <w:rFonts w:ascii="Times New Roman" w:hAnsi="Times New Roman" w:cs="Times New Roman"/>
          <w:sz w:val="24"/>
          <w:szCs w:val="24"/>
          <w:lang w:val="en-GB"/>
        </w:rPr>
        <w:t>The practicum experience was a learning and educational opportunity where I learned how to handle challenging patients and become a better healthcare provider. During</w:t>
      </w:r>
      <w:r w:rsidR="00815649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 the practicum, I had access to </w:t>
      </w:r>
      <w:r w:rsidR="000274C0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various resources and tools, such as clinical databases and educational materials. </w:t>
      </w:r>
      <w:r w:rsidR="00D34723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Some of the evidence-based </w:t>
      </w:r>
      <w:r w:rsidR="0099595A" w:rsidRPr="00636400">
        <w:rPr>
          <w:rFonts w:ascii="Times New Roman" w:hAnsi="Times New Roman" w:cs="Times New Roman"/>
          <w:sz w:val="24"/>
          <w:szCs w:val="24"/>
          <w:lang w:val="en-GB"/>
        </w:rPr>
        <w:t>practices I used for my patients include providing patient-centred care and collaborating with other providers to provide holistic care</w:t>
      </w:r>
      <w:r w:rsidR="00BD2515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D2515" w:rsidRPr="00BD2515">
        <w:rPr>
          <w:rFonts w:ascii="Times New Roman" w:hAnsi="Times New Roman" w:cs="Times New Roman"/>
          <w:sz w:val="24"/>
          <w:szCs w:val="24"/>
          <w:lang w:val="en-GB"/>
        </w:rPr>
        <w:t>(Boardman &amp; Dave, 2020)</w:t>
      </w:r>
      <w:r w:rsidR="0099595A" w:rsidRPr="00636400">
        <w:rPr>
          <w:rFonts w:ascii="Times New Roman" w:hAnsi="Times New Roman" w:cs="Times New Roman"/>
          <w:sz w:val="24"/>
          <w:szCs w:val="24"/>
          <w:lang w:val="en-GB"/>
        </w:rPr>
        <w:t>. The new skills</w:t>
      </w:r>
      <w:r w:rsidR="00FE332A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 I am learning include the importance of self-reflection in my practice and the relevance of seeking feedback from experienced providers. </w:t>
      </w:r>
      <w:r w:rsidR="009551C4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If I were to do things differently, I </w:t>
      </w:r>
      <w:r w:rsidR="00540EAB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would take every encounter with every patient as a learning opportunity. </w:t>
      </w:r>
      <w:r w:rsidR="00472BAA" w:rsidRPr="00636400">
        <w:rPr>
          <w:rFonts w:ascii="Times New Roman" w:hAnsi="Times New Roman" w:cs="Times New Roman"/>
          <w:sz w:val="24"/>
          <w:szCs w:val="24"/>
          <w:lang w:val="en-GB"/>
        </w:rPr>
        <w:t>I manage patient flow by prioritizing those with urgent needs first, scheduling appointments and using electronic health records</w:t>
      </w:r>
      <w:r w:rsidR="0007264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07264B" w:rsidRPr="0007264B">
        <w:rPr>
          <w:rFonts w:ascii="Times New Roman" w:hAnsi="Times New Roman" w:cs="Times New Roman"/>
          <w:sz w:val="24"/>
          <w:szCs w:val="24"/>
          <w:lang w:val="en-GB"/>
        </w:rPr>
        <w:t>(Wretborn et al., 2019)</w:t>
      </w:r>
      <w:r w:rsidR="00472BAA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9A2373" w:rsidRPr="00636400">
        <w:rPr>
          <w:rFonts w:ascii="Times New Roman" w:hAnsi="Times New Roman" w:cs="Times New Roman"/>
          <w:sz w:val="24"/>
          <w:szCs w:val="24"/>
          <w:lang w:val="en-GB"/>
        </w:rPr>
        <w:t>In terms of communicating with my preceptor, I am receptive to both formal and informal feedback from my preceptor. Also, I will continue seeking</w:t>
      </w:r>
      <w:r w:rsidR="00F602F1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 learning opportunities from my preceptors for my growth and the benefit of my patients. </w:t>
      </w:r>
      <w:r w:rsidR="00361977" w:rsidRPr="00636400">
        <w:rPr>
          <w:rFonts w:ascii="Times New Roman" w:hAnsi="Times New Roman" w:cs="Times New Roman"/>
          <w:sz w:val="24"/>
          <w:szCs w:val="24"/>
          <w:lang w:val="en-GB"/>
        </w:rPr>
        <w:t xml:space="preserve">I appreciate the feedback I was given, and I am willing to utilize this opportunity in the best way possible to become the best healthcare provider. </w:t>
      </w:r>
    </w:p>
    <w:p w:rsidR="00B71CD4" w:rsidRDefault="00B71CD4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br w:type="page"/>
      </w:r>
    </w:p>
    <w:p w:rsidR="000C0016" w:rsidRDefault="00B71CD4" w:rsidP="000F6D78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lastRenderedPageBreak/>
        <w:t>References</w:t>
      </w:r>
    </w:p>
    <w:p w:rsidR="00D12807" w:rsidRDefault="00D12807" w:rsidP="00D1280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Boardman, J., &amp; Dave, S. (2020). Person-centred care and psychiatry: some key perspectives. </w:t>
      </w:r>
      <w:r>
        <w:rPr>
          <w:i/>
          <w:iCs/>
        </w:rPr>
        <w:t>BJPsych International</w:t>
      </w:r>
      <w:r>
        <w:t xml:space="preserve">, </w:t>
      </w:r>
      <w:r>
        <w:rPr>
          <w:i/>
          <w:iCs/>
        </w:rPr>
        <w:t>17</w:t>
      </w:r>
      <w:r>
        <w:t>(3), 1–4. https://doi.org/10.1192/bji.2020.21</w:t>
      </w:r>
    </w:p>
    <w:p w:rsidR="00D12807" w:rsidRDefault="00D12807" w:rsidP="00D1280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Khokhar, J. Y., Dwiel, L. L., Henricks, A. M., Doucette, W. T., &amp; Green, A. I. (2018). The link between schizophrenia and substance use disorder: A unifying hypothesis. </w:t>
      </w:r>
      <w:r>
        <w:rPr>
          <w:i/>
          <w:iCs/>
        </w:rPr>
        <w:t>Schizophrenia Research</w:t>
      </w:r>
      <w:r>
        <w:t xml:space="preserve">, </w:t>
      </w:r>
      <w:r>
        <w:rPr>
          <w:i/>
          <w:iCs/>
        </w:rPr>
        <w:t>194</w:t>
      </w:r>
      <w:r>
        <w:t>(1), 78–85. https://doi.org/10.1016/j.schres.2017.04.016</w:t>
      </w:r>
    </w:p>
    <w:p w:rsidR="00D12807" w:rsidRDefault="00D12807" w:rsidP="00D1280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McConnell, D. (2020). Balancing the duty to treat with the duty to family in the context of the COVID-19 pandemic. </w:t>
      </w:r>
      <w:r>
        <w:rPr>
          <w:i/>
          <w:iCs/>
        </w:rPr>
        <w:t>Journal of Medical Ethics</w:t>
      </w:r>
      <w:r>
        <w:t xml:space="preserve">, </w:t>
      </w:r>
      <w:r>
        <w:rPr>
          <w:i/>
          <w:iCs/>
        </w:rPr>
        <w:t>46</w:t>
      </w:r>
      <w:r>
        <w:t>(6), 360–363. https://doi.org/10.1136/medethics-2020-106250</w:t>
      </w:r>
    </w:p>
    <w:p w:rsidR="00D12807" w:rsidRDefault="00D12807" w:rsidP="00D12807">
      <w:pPr>
        <w:pStyle w:val="NormalWeb"/>
        <w:spacing w:before="0" w:beforeAutospacing="0" w:after="0" w:afterAutospacing="0" w:line="480" w:lineRule="auto"/>
        <w:ind w:left="720" w:hanging="720"/>
      </w:pPr>
      <w:r>
        <w:t xml:space="preserve">Wretborn, J., Ekelund, U., &amp; Wilhelms, D. B. (2019). Emergency Department Workload and Crowding During a Major Electronic Health Record Breakdown. </w:t>
      </w:r>
      <w:r>
        <w:rPr>
          <w:i/>
          <w:iCs/>
        </w:rPr>
        <w:t>Frontiers in Public Health</w:t>
      </w:r>
      <w:r>
        <w:t xml:space="preserve">, </w:t>
      </w:r>
      <w:r>
        <w:rPr>
          <w:i/>
          <w:iCs/>
        </w:rPr>
        <w:t>7</w:t>
      </w:r>
      <w:r>
        <w:t>. https://doi.org/10.3389/fpubh.2019.00267</w:t>
      </w:r>
    </w:p>
    <w:p w:rsidR="000F6D78" w:rsidRPr="000F6D78" w:rsidRDefault="000F6D78" w:rsidP="000F6D78">
      <w:pPr>
        <w:spacing w:line="48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:rsidR="00224874" w:rsidRPr="00046ADF" w:rsidRDefault="00224874" w:rsidP="000A407F">
      <w:pPr>
        <w:rPr>
          <w:rFonts w:ascii="Times New Roman" w:hAnsi="Times New Roman" w:cs="Times New Roman"/>
          <w:sz w:val="24"/>
          <w:szCs w:val="24"/>
          <w:lang w:val="en-GB"/>
        </w:rPr>
      </w:pPr>
      <w:bookmarkStart w:id="0" w:name="_GoBack"/>
      <w:bookmarkEnd w:id="0"/>
    </w:p>
    <w:sectPr w:rsidR="00224874" w:rsidRPr="00046ADF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C10" w:rsidRDefault="003D0C10" w:rsidP="00242325">
      <w:pPr>
        <w:spacing w:after="0" w:line="240" w:lineRule="auto"/>
      </w:pPr>
      <w:r>
        <w:separator/>
      </w:r>
    </w:p>
  </w:endnote>
  <w:endnote w:type="continuationSeparator" w:id="0">
    <w:p w:rsidR="003D0C10" w:rsidRDefault="003D0C10" w:rsidP="00242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C10" w:rsidRDefault="003D0C10" w:rsidP="00242325">
      <w:pPr>
        <w:spacing w:after="0" w:line="240" w:lineRule="auto"/>
      </w:pPr>
      <w:r>
        <w:separator/>
      </w:r>
    </w:p>
  </w:footnote>
  <w:footnote w:type="continuationSeparator" w:id="0">
    <w:p w:rsidR="003D0C10" w:rsidRDefault="003D0C10" w:rsidP="00242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9323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242325" w:rsidRPr="00242325" w:rsidRDefault="00242325" w:rsidP="00242325">
        <w:pPr>
          <w:pStyle w:val="Header"/>
          <w:spacing w:line="480" w:lineRule="auto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423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4232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23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A407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24232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242325" w:rsidRDefault="0024232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D1"/>
    <w:rsid w:val="000274C0"/>
    <w:rsid w:val="00046ADF"/>
    <w:rsid w:val="0007264B"/>
    <w:rsid w:val="00091D0F"/>
    <w:rsid w:val="000A407F"/>
    <w:rsid w:val="000C0016"/>
    <w:rsid w:val="000F6D78"/>
    <w:rsid w:val="00123B57"/>
    <w:rsid w:val="00137C9F"/>
    <w:rsid w:val="001734CD"/>
    <w:rsid w:val="00224874"/>
    <w:rsid w:val="00242325"/>
    <w:rsid w:val="002A59C2"/>
    <w:rsid w:val="00314F3B"/>
    <w:rsid w:val="00361977"/>
    <w:rsid w:val="003D0C10"/>
    <w:rsid w:val="003D651C"/>
    <w:rsid w:val="00431DED"/>
    <w:rsid w:val="004624D1"/>
    <w:rsid w:val="00472BAA"/>
    <w:rsid w:val="004F0B1D"/>
    <w:rsid w:val="00540EAB"/>
    <w:rsid w:val="005A3357"/>
    <w:rsid w:val="00636400"/>
    <w:rsid w:val="00641F61"/>
    <w:rsid w:val="00644D90"/>
    <w:rsid w:val="006A4452"/>
    <w:rsid w:val="007B1E4A"/>
    <w:rsid w:val="00815649"/>
    <w:rsid w:val="00856DA7"/>
    <w:rsid w:val="00882195"/>
    <w:rsid w:val="009551C4"/>
    <w:rsid w:val="0099595A"/>
    <w:rsid w:val="0099666F"/>
    <w:rsid w:val="009A2373"/>
    <w:rsid w:val="009F5652"/>
    <w:rsid w:val="00A12F64"/>
    <w:rsid w:val="00B36B27"/>
    <w:rsid w:val="00B71CD4"/>
    <w:rsid w:val="00BD2515"/>
    <w:rsid w:val="00C759F7"/>
    <w:rsid w:val="00CD271D"/>
    <w:rsid w:val="00CD5FC8"/>
    <w:rsid w:val="00CE5720"/>
    <w:rsid w:val="00D12807"/>
    <w:rsid w:val="00D34723"/>
    <w:rsid w:val="00D44D42"/>
    <w:rsid w:val="00DD7528"/>
    <w:rsid w:val="00E61042"/>
    <w:rsid w:val="00EF3621"/>
    <w:rsid w:val="00F04267"/>
    <w:rsid w:val="00F602F1"/>
    <w:rsid w:val="00FC1FAE"/>
    <w:rsid w:val="00FE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E5422"/>
  <w15:chartTrackingRefBased/>
  <w15:docId w15:val="{AB874EB7-ABF9-4ABC-B665-FDF5876AD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325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423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325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D12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662</Words>
  <Characters>3775</Characters>
  <Application>Microsoft Office Word</Application>
  <DocSecurity>0</DocSecurity>
  <Lines>31</Lines>
  <Paragraphs>8</Paragraphs>
  <ScaleCrop>false</ScaleCrop>
  <Company/>
  <LinksUpToDate>false</LinksUpToDate>
  <CharactersWithSpaces>4429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51</cp:revision>
  <dcterms:created xsi:type="dcterms:W3CDTF">2023-02-09T06:46:00Z</dcterms:created>
  <dcterms:modified xsi:type="dcterms:W3CDTF">2023-02-09T08:11:00Z</dcterms:modified>
</cp:coreProperties>
</file>