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1F10" w14:textId="77777777" w:rsidR="0017459F" w:rsidRPr="0017459F" w:rsidRDefault="0017459F" w:rsidP="0017459F">
      <w:pPr>
        <w:spacing w:after="0" w:line="240" w:lineRule="auto"/>
        <w:outlineLvl w:val="2"/>
        <w:rPr>
          <w:rFonts w:ascii="Arial" w:eastAsia="Times New Roman" w:hAnsi="Arial" w:cs="Arial"/>
          <w:b/>
          <w:bCs/>
          <w:color w:val="B40000"/>
          <w:sz w:val="27"/>
          <w:szCs w:val="27"/>
        </w:rPr>
      </w:pPr>
      <w:r w:rsidRPr="0017459F">
        <w:rPr>
          <w:rFonts w:ascii="Arial" w:eastAsia="Times New Roman" w:hAnsi="Arial" w:cs="Arial"/>
          <w:b/>
          <w:bCs/>
          <w:color w:val="B40000"/>
          <w:sz w:val="27"/>
          <w:szCs w:val="27"/>
        </w:rPr>
        <w:t>Re: Week 2 Discussion 1: Pain</w:t>
      </w:r>
    </w:p>
    <w:p w14:paraId="59DD58D7" w14:textId="77777777" w:rsidR="0017459F" w:rsidRPr="0017459F" w:rsidRDefault="0017459F" w:rsidP="0017459F">
      <w:pPr>
        <w:spacing w:after="0" w:line="240" w:lineRule="auto"/>
        <w:rPr>
          <w:rFonts w:ascii="Times New Roman" w:eastAsia="Times New Roman" w:hAnsi="Times New Roman" w:cs="Times New Roman"/>
          <w:sz w:val="24"/>
          <w:szCs w:val="24"/>
        </w:rPr>
      </w:pPr>
      <w:r w:rsidRPr="0017459F">
        <w:rPr>
          <w:rFonts w:ascii="Times New Roman" w:eastAsia="Times New Roman" w:hAnsi="Times New Roman" w:cs="Times New Roman"/>
          <w:sz w:val="24"/>
          <w:szCs w:val="24"/>
        </w:rPr>
        <w:t>by </w:t>
      </w:r>
      <w:hyperlink r:id="rId4" w:history="1">
        <w:r w:rsidRPr="0017459F">
          <w:rPr>
            <w:rFonts w:ascii="Times New Roman" w:eastAsia="Times New Roman" w:hAnsi="Times New Roman" w:cs="Times New Roman"/>
            <w:color w:val="0000FF"/>
            <w:sz w:val="24"/>
            <w:szCs w:val="24"/>
            <w:u w:val="single"/>
          </w:rPr>
          <w:t>Meghan Raby</w:t>
        </w:r>
      </w:hyperlink>
      <w:r w:rsidRPr="0017459F">
        <w:rPr>
          <w:rFonts w:ascii="Times New Roman" w:eastAsia="Times New Roman" w:hAnsi="Times New Roman" w:cs="Times New Roman"/>
          <w:sz w:val="24"/>
          <w:szCs w:val="24"/>
        </w:rPr>
        <w:t> - Monday, 9 January 2023, 8:11 PM</w:t>
      </w:r>
    </w:p>
    <w:p w14:paraId="1BA61A82" w14:textId="77777777" w:rsidR="0017459F" w:rsidRPr="0017459F" w:rsidRDefault="0017459F" w:rsidP="0017459F">
      <w:pPr>
        <w:shd w:val="clear" w:color="auto" w:fill="FFFFFF"/>
        <w:spacing w:after="0"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Week 2 Discussion 1: Pain</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t>In 2020 there were 20.6 Asian Americans living in the United States, contributing to 6.2% of the population (Monte &amp; Shin, 2022). It is important to recognize as an advanced practitioner the differences in cultural beliefs related to healthcare, and in this discussion pain. Pain is one of the most common ailments in the United States and can have a major impact on one’s quality of life (</w:t>
      </w:r>
      <w:proofErr w:type="spellStart"/>
      <w:r w:rsidRPr="0017459F">
        <w:rPr>
          <w:rFonts w:ascii="Arial" w:eastAsia="Times New Roman" w:hAnsi="Arial" w:cs="Arial"/>
          <w:color w:val="373A3C"/>
          <w:sz w:val="23"/>
          <w:szCs w:val="23"/>
        </w:rPr>
        <w:t>Ahn</w:t>
      </w:r>
      <w:proofErr w:type="spellEnd"/>
      <w:r w:rsidRPr="0017459F">
        <w:rPr>
          <w:rFonts w:ascii="Arial" w:eastAsia="Times New Roman" w:hAnsi="Arial" w:cs="Arial"/>
          <w:color w:val="373A3C"/>
          <w:sz w:val="23"/>
          <w:szCs w:val="23"/>
        </w:rPr>
        <w:t xml:space="preserve"> et. al, 2021). Providing a thorough interview and assessment is important to determine a patient’s pain levels. Because pain is a subjective finding, it is important to understand a patient’s functional level of pain as well as their daily severity level of pain.</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t>The Asian culture tends to promote stoicism and discourage public displays of discomfort (Huang et. al, 2021). This may contribute to more challenging pain assessments. Other cultural aspects that can impact Asian Americans’ pain assessments include the belief that pain is a sign of weakness, the acceptance of pain as it is seen as spiritual growth, and the possession of inner strength, not wanting to burden others (Kawi et. al, 2018). These cultural differences may impact how they describe their day-to-day pain levels. It may also impact their quality of life by living with acute or chronic pain and perhaps not accepting pain medication or other treatments because of these cultural beliefs.</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t>Keeping this information in mind, when preparing to assess the pain levels of an Asian-American patient, I would first determine if they were English-speaking and if they felt comfortable talking about medical terminology in English. If not, I would involve a medical interpreter to assist with the examination. It is important to make sure the patient can understand the questions appropriately as language barriers can contribute to disparities in healthcare (Bickley et al., 2017). If a language barrier was present, I would use the Wong-Baker Faces Pain Rating Scale to assist with determining the patient’s current level of pain. This scale uses a scale of pictures of faces ranging from happy to sad, to help determine pain levels (Bickley et al., 2017). Because the patient may be less likely to admit pain levels, I would ask questions about the patient’s daily activities and how physically capable he or she is of achieving them instead of blatantly asking about a specific pain number. I would also choose to provide education about different styles of pain management so that he or she had a better understanding of my intention of improving their quality of life. Listening to the patient’s story and identifying contributing factors to the pain and providing thorough education regarding possible causes and treatments of the pain will help prevent any disparities in the care of Asian-American patients.</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t>References:</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r>
      <w:proofErr w:type="spellStart"/>
      <w:r w:rsidRPr="0017459F">
        <w:rPr>
          <w:rFonts w:ascii="Arial" w:eastAsia="Times New Roman" w:hAnsi="Arial" w:cs="Arial"/>
          <w:color w:val="373A3C"/>
          <w:sz w:val="23"/>
          <w:szCs w:val="23"/>
        </w:rPr>
        <w:t>Ahn</w:t>
      </w:r>
      <w:proofErr w:type="spellEnd"/>
      <w:r w:rsidRPr="0017459F">
        <w:rPr>
          <w:rFonts w:ascii="Arial" w:eastAsia="Times New Roman" w:hAnsi="Arial" w:cs="Arial"/>
          <w:color w:val="373A3C"/>
          <w:sz w:val="23"/>
          <w:szCs w:val="23"/>
        </w:rPr>
        <w:t xml:space="preserve">, H., Jackson, N., An, K., </w:t>
      </w:r>
      <w:proofErr w:type="spellStart"/>
      <w:r w:rsidRPr="0017459F">
        <w:rPr>
          <w:rFonts w:ascii="Arial" w:eastAsia="Times New Roman" w:hAnsi="Arial" w:cs="Arial"/>
          <w:color w:val="373A3C"/>
          <w:sz w:val="23"/>
          <w:szCs w:val="23"/>
        </w:rPr>
        <w:t>Fillingim</w:t>
      </w:r>
      <w:proofErr w:type="spellEnd"/>
      <w:r w:rsidRPr="0017459F">
        <w:rPr>
          <w:rFonts w:ascii="Arial" w:eastAsia="Times New Roman" w:hAnsi="Arial" w:cs="Arial"/>
          <w:color w:val="373A3C"/>
          <w:sz w:val="23"/>
          <w:szCs w:val="23"/>
        </w:rPr>
        <w:t>, R. B., Miao, H., Lee, M., Ko, J., Galle, K., &amp; Lee, M. A. (2021). Relationship between acculturative stress and pain catastrophizing in Korean Americans. Journal of Immigrant and Minority Health, 23(4), 741–746. https://doi.org/10.1007/s10903-020-01083-6</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t xml:space="preserve">Bickley, L. S., </w:t>
      </w:r>
      <w:proofErr w:type="spellStart"/>
      <w:r w:rsidRPr="0017459F">
        <w:rPr>
          <w:rFonts w:ascii="Arial" w:eastAsia="Times New Roman" w:hAnsi="Arial" w:cs="Arial"/>
          <w:color w:val="373A3C"/>
          <w:sz w:val="23"/>
          <w:szCs w:val="23"/>
        </w:rPr>
        <w:t>Szilagyi</w:t>
      </w:r>
      <w:proofErr w:type="spellEnd"/>
      <w:r w:rsidRPr="0017459F">
        <w:rPr>
          <w:rFonts w:ascii="Arial" w:eastAsia="Times New Roman" w:hAnsi="Arial" w:cs="Arial"/>
          <w:color w:val="373A3C"/>
          <w:sz w:val="23"/>
          <w:szCs w:val="23"/>
        </w:rPr>
        <w:t>, P. G., Hoffman, R. M., &amp; Soriano, R. P. (2017). Bates' Guide to Physical Examination and history taking. Wolters Kluwer.</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lastRenderedPageBreak/>
        <w:br/>
        <w:t xml:space="preserve">Huang, D. L., </w:t>
      </w:r>
      <w:proofErr w:type="spellStart"/>
      <w:r w:rsidRPr="0017459F">
        <w:rPr>
          <w:rFonts w:ascii="Arial" w:eastAsia="Times New Roman" w:hAnsi="Arial" w:cs="Arial"/>
          <w:color w:val="373A3C"/>
          <w:sz w:val="23"/>
          <w:szCs w:val="23"/>
        </w:rPr>
        <w:t>Bardhan</w:t>
      </w:r>
      <w:proofErr w:type="spellEnd"/>
      <w:r w:rsidRPr="0017459F">
        <w:rPr>
          <w:rFonts w:ascii="Arial" w:eastAsia="Times New Roman" w:hAnsi="Arial" w:cs="Arial"/>
          <w:color w:val="373A3C"/>
          <w:sz w:val="23"/>
          <w:szCs w:val="23"/>
        </w:rPr>
        <w:t>, I., Shin, J., Karp, J. F., &amp; Park, M. (2021). Chronic pain and mood disorders in Asian Americans. Asian/Pacific Island Nursing Journal, 5(4), 217–226. https://doi.org/10.31372/20200504.1115</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t>Kawi, J., Reyes, A. T., &amp; Arenas, R. A. (2018). Exploring pain management among Asian immigrants with chronic pain: Self-management and Resilience. Journal of Immigrant and Minority Health, 21(5), 1123–1136. https://doi.org/10.1007/s10903-018-0820-8</w:t>
      </w:r>
      <w:r w:rsidRPr="0017459F">
        <w:rPr>
          <w:rFonts w:ascii="Arial" w:eastAsia="Times New Roman" w:hAnsi="Arial" w:cs="Arial"/>
          <w:color w:val="373A3C"/>
          <w:sz w:val="23"/>
          <w:szCs w:val="23"/>
        </w:rPr>
        <w:br/>
      </w:r>
      <w:r w:rsidRPr="0017459F">
        <w:rPr>
          <w:rFonts w:ascii="Arial" w:eastAsia="Times New Roman" w:hAnsi="Arial" w:cs="Arial"/>
          <w:color w:val="373A3C"/>
          <w:sz w:val="23"/>
          <w:szCs w:val="23"/>
        </w:rPr>
        <w:br/>
        <w:t>Monte, L., &amp; Shin, H. (2022, May 25). 20.6 million people in the U.S. identify as Asian, Native Hawaiian or Pacific Islander. Census.gov. Retrieved January 9, 2023, from https://www.census.gov/library/stories/2022/05/aanhpi-population-diverse-geographically-dispersed.html</w:t>
      </w:r>
    </w:p>
    <w:p w14:paraId="09501F8A" w14:textId="4E539E01" w:rsidR="0017459F" w:rsidRDefault="0017459F"/>
    <w:p w14:paraId="78E16FB7" w14:textId="7B87BA23" w:rsidR="0017459F" w:rsidRDefault="0017459F"/>
    <w:p w14:paraId="62EFF38F" w14:textId="77777777" w:rsidR="0017459F" w:rsidRPr="0017459F" w:rsidRDefault="0017459F" w:rsidP="0017459F">
      <w:pPr>
        <w:spacing w:after="0" w:line="240" w:lineRule="auto"/>
        <w:outlineLvl w:val="2"/>
        <w:rPr>
          <w:rFonts w:ascii="Arial" w:eastAsia="Times New Roman" w:hAnsi="Arial" w:cs="Arial"/>
          <w:b/>
          <w:bCs/>
          <w:color w:val="B40000"/>
          <w:sz w:val="27"/>
          <w:szCs w:val="27"/>
        </w:rPr>
      </w:pPr>
      <w:r w:rsidRPr="0017459F">
        <w:rPr>
          <w:rFonts w:ascii="Arial" w:eastAsia="Times New Roman" w:hAnsi="Arial" w:cs="Arial"/>
          <w:b/>
          <w:bCs/>
          <w:color w:val="B40000"/>
          <w:sz w:val="27"/>
          <w:szCs w:val="27"/>
        </w:rPr>
        <w:t>Re: Week 2 Discussion 1: Pain</w:t>
      </w:r>
    </w:p>
    <w:p w14:paraId="2A5F9AA1" w14:textId="77777777" w:rsidR="0017459F" w:rsidRPr="0017459F" w:rsidRDefault="0017459F" w:rsidP="0017459F">
      <w:pPr>
        <w:spacing w:after="0" w:line="240" w:lineRule="auto"/>
        <w:rPr>
          <w:rFonts w:ascii="Times New Roman" w:eastAsia="Times New Roman" w:hAnsi="Times New Roman" w:cs="Times New Roman"/>
          <w:sz w:val="24"/>
          <w:szCs w:val="24"/>
        </w:rPr>
      </w:pPr>
      <w:r w:rsidRPr="0017459F">
        <w:rPr>
          <w:rFonts w:ascii="Times New Roman" w:eastAsia="Times New Roman" w:hAnsi="Times New Roman" w:cs="Times New Roman"/>
          <w:sz w:val="24"/>
          <w:szCs w:val="24"/>
        </w:rPr>
        <w:t>by </w:t>
      </w:r>
      <w:hyperlink r:id="rId5" w:history="1">
        <w:r w:rsidRPr="0017459F">
          <w:rPr>
            <w:rFonts w:ascii="Times New Roman" w:eastAsia="Times New Roman" w:hAnsi="Times New Roman" w:cs="Times New Roman"/>
            <w:color w:val="0000FF"/>
            <w:sz w:val="24"/>
            <w:szCs w:val="24"/>
            <w:u w:val="single"/>
          </w:rPr>
          <w:t>Heather Laurie</w:t>
        </w:r>
      </w:hyperlink>
      <w:r w:rsidRPr="0017459F">
        <w:rPr>
          <w:rFonts w:ascii="Times New Roman" w:eastAsia="Times New Roman" w:hAnsi="Times New Roman" w:cs="Times New Roman"/>
          <w:sz w:val="24"/>
          <w:szCs w:val="24"/>
        </w:rPr>
        <w:t> - Monday, 9 January 2023, 6:12 PM</w:t>
      </w:r>
    </w:p>
    <w:p w14:paraId="30BBD89F"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Week 2 Discussion: Pain</w:t>
      </w:r>
    </w:p>
    <w:p w14:paraId="31722634"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p>
    <w:p w14:paraId="03305596"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Pain management, whether acute or chronic, has been shown to reduce pain severity, improve moods, quality of life, optimize daily functions, as well as increase social, physical, and psychological well-being (</w:t>
      </w:r>
      <w:proofErr w:type="spellStart"/>
      <w:r w:rsidRPr="0017459F">
        <w:rPr>
          <w:rFonts w:ascii="Arial" w:eastAsia="Times New Roman" w:hAnsi="Arial" w:cs="Arial"/>
          <w:color w:val="373A3C"/>
          <w:sz w:val="23"/>
          <w:szCs w:val="23"/>
        </w:rPr>
        <w:t>Nahin</w:t>
      </w:r>
      <w:proofErr w:type="spellEnd"/>
      <w:r w:rsidRPr="0017459F">
        <w:rPr>
          <w:rFonts w:ascii="Arial" w:eastAsia="Times New Roman" w:hAnsi="Arial" w:cs="Arial"/>
          <w:color w:val="373A3C"/>
          <w:sz w:val="23"/>
          <w:szCs w:val="23"/>
        </w:rPr>
        <w:t>, 2022). Depending on the patient, and the patient’s beliefs, pain control may take a variety of forms,</w:t>
      </w:r>
    </w:p>
    <w:p w14:paraId="705013E9"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For many cultures, beliefs regarding pain and pain management are most prominent towards the end of life. For patients of Islamic faith, death is viewed as something that only happens with God’s permission, as God is the origin of life and all of life’s destiny. For healthcare providers working with patients of Islamic faith, their faith often plays a large role in their level of pain control they receive, as physicians are often attempting to maintain life or provide as much comfort as possible at the end of life (Sachedina, 2005)</w:t>
      </w:r>
    </w:p>
    <w:p w14:paraId="4B18C93B"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 xml:space="preserve">For physician’s handling patients during the dying process, whether from an acute issue or a chronic issue such as cancer, the pain associated with this must be handled delicately as those of Islam faith belief that the level of pain control must not actively or passively end the patient’s life (Mendieta &amp; Buckingham, 2017). If the level of pain control were so high as to actively speed up or assist the dying process, the physicians or healthcare members are seen as taking a role that only God should be given. They view life as belonging to Allah and it cannot be ended by human actions. Because of these beliefs, the goal of pain control and palliative care must be with the intent to ease pain only, yet at the same time, not expedite the natural dying process. The goal must also not be to ease all pain, as Muslim patients believe that their “pain is actually an </w:t>
      </w:r>
      <w:proofErr w:type="spellStart"/>
      <w:r w:rsidRPr="0017459F">
        <w:rPr>
          <w:rFonts w:ascii="Arial" w:eastAsia="Times New Roman" w:hAnsi="Arial" w:cs="Arial"/>
          <w:color w:val="373A3C"/>
          <w:sz w:val="23"/>
          <w:szCs w:val="23"/>
        </w:rPr>
        <w:t>expiation</w:t>
      </w:r>
      <w:proofErr w:type="spellEnd"/>
      <w:r w:rsidRPr="0017459F">
        <w:rPr>
          <w:rFonts w:ascii="Arial" w:eastAsia="Times New Roman" w:hAnsi="Arial" w:cs="Arial"/>
          <w:color w:val="373A3C"/>
          <w:sz w:val="23"/>
          <w:szCs w:val="23"/>
        </w:rPr>
        <w:t xml:space="preserve"> of their sins”, or </w:t>
      </w:r>
      <w:proofErr w:type="spellStart"/>
      <w:r w:rsidRPr="0017459F">
        <w:rPr>
          <w:rFonts w:ascii="Arial" w:eastAsia="Times New Roman" w:hAnsi="Arial" w:cs="Arial"/>
          <w:i/>
          <w:iCs/>
          <w:color w:val="373A3C"/>
          <w:sz w:val="23"/>
          <w:szCs w:val="23"/>
        </w:rPr>
        <w:t>Kaffarah</w:t>
      </w:r>
      <w:proofErr w:type="spellEnd"/>
      <w:r w:rsidRPr="0017459F">
        <w:rPr>
          <w:rFonts w:ascii="Arial" w:eastAsia="Times New Roman" w:hAnsi="Arial" w:cs="Arial"/>
          <w:i/>
          <w:iCs/>
          <w:color w:val="373A3C"/>
          <w:sz w:val="23"/>
          <w:szCs w:val="23"/>
        </w:rPr>
        <w:t> </w:t>
      </w:r>
      <w:r w:rsidRPr="0017459F">
        <w:rPr>
          <w:rFonts w:ascii="Arial" w:eastAsia="Times New Roman" w:hAnsi="Arial" w:cs="Arial"/>
          <w:color w:val="373A3C"/>
          <w:sz w:val="23"/>
          <w:szCs w:val="23"/>
        </w:rPr>
        <w:t>(Mendieta &amp; Buckingham, 2017). Pain is also not viewed as evil in Islamic faiths, as it is viewed as God’s way of connecting with humanity. Relieving all pain would not allow the patients to fulfill their needed penance before passing on into the afterlife.  (Mendieta &amp; Buckingham, 2017).</w:t>
      </w:r>
    </w:p>
    <w:p w14:paraId="10ECC975"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lastRenderedPageBreak/>
        <w:t xml:space="preserve">For providers caring for patients of Islamic faiths, it is important to educate themselves on the patients’ beliefs. Health is viewed as not only physical, but psychological, spiritual, and social as well. Specifically, regarding pain care, as one of the core belief systems focuses on illness, pain, and dying as being a test from God and a </w:t>
      </w:r>
      <w:proofErr w:type="spellStart"/>
      <w:r w:rsidRPr="0017459F">
        <w:rPr>
          <w:rFonts w:ascii="Arial" w:eastAsia="Times New Roman" w:hAnsi="Arial" w:cs="Arial"/>
          <w:color w:val="373A3C"/>
          <w:sz w:val="23"/>
          <w:szCs w:val="23"/>
        </w:rPr>
        <w:t>right</w:t>
      </w:r>
      <w:proofErr w:type="spellEnd"/>
      <w:r w:rsidRPr="0017459F">
        <w:rPr>
          <w:rFonts w:ascii="Arial" w:eastAsia="Times New Roman" w:hAnsi="Arial" w:cs="Arial"/>
          <w:color w:val="373A3C"/>
          <w:sz w:val="23"/>
          <w:szCs w:val="23"/>
        </w:rPr>
        <w:t xml:space="preserve"> of passage into the afterlife (</w:t>
      </w:r>
      <w:proofErr w:type="spellStart"/>
      <w:r w:rsidRPr="0017459F">
        <w:rPr>
          <w:rFonts w:ascii="Arial" w:eastAsia="Times New Roman" w:hAnsi="Arial" w:cs="Arial"/>
          <w:color w:val="373A3C"/>
          <w:sz w:val="23"/>
          <w:szCs w:val="23"/>
        </w:rPr>
        <w:t>Attum</w:t>
      </w:r>
      <w:proofErr w:type="spellEnd"/>
      <w:r w:rsidRPr="0017459F">
        <w:rPr>
          <w:rFonts w:ascii="Arial" w:eastAsia="Times New Roman" w:hAnsi="Arial" w:cs="Arial"/>
          <w:color w:val="373A3C"/>
          <w:sz w:val="23"/>
          <w:szCs w:val="23"/>
        </w:rPr>
        <w:t>, 2022). One of the simplest ways of exploring a patient’s expectations regarding their treatment plan is to have an open and honest discussion about it directly with the patient. Asking the patient directly their views on levels of pain control and interventions they would be open to will allow the patient the chance to educate their provider on the types of care they wish to receive. By doing this, providers are providing patient-centered care, enhancing cultural competency, and overall improving the care their patients receive (</w:t>
      </w:r>
      <w:proofErr w:type="spellStart"/>
      <w:r w:rsidRPr="0017459F">
        <w:rPr>
          <w:rFonts w:ascii="Arial" w:eastAsia="Times New Roman" w:hAnsi="Arial" w:cs="Arial"/>
          <w:color w:val="373A3C"/>
          <w:sz w:val="23"/>
          <w:szCs w:val="23"/>
        </w:rPr>
        <w:t>Attum</w:t>
      </w:r>
      <w:proofErr w:type="spellEnd"/>
      <w:r w:rsidRPr="0017459F">
        <w:rPr>
          <w:rFonts w:ascii="Arial" w:eastAsia="Times New Roman" w:hAnsi="Arial" w:cs="Arial"/>
          <w:color w:val="373A3C"/>
          <w:sz w:val="23"/>
          <w:szCs w:val="23"/>
        </w:rPr>
        <w:t>, 2022).</w:t>
      </w:r>
    </w:p>
    <w:p w14:paraId="66F94BFE"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References</w:t>
      </w:r>
    </w:p>
    <w:p w14:paraId="04E53BD9"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proofErr w:type="spellStart"/>
      <w:r w:rsidRPr="0017459F">
        <w:rPr>
          <w:rFonts w:ascii="Arial" w:eastAsia="Times New Roman" w:hAnsi="Arial" w:cs="Arial"/>
          <w:color w:val="373A3C"/>
          <w:sz w:val="23"/>
          <w:szCs w:val="23"/>
        </w:rPr>
        <w:t>Attum</w:t>
      </w:r>
      <w:proofErr w:type="spellEnd"/>
      <w:r w:rsidRPr="0017459F">
        <w:rPr>
          <w:rFonts w:ascii="Arial" w:eastAsia="Times New Roman" w:hAnsi="Arial" w:cs="Arial"/>
          <w:color w:val="373A3C"/>
          <w:sz w:val="23"/>
          <w:szCs w:val="23"/>
        </w:rPr>
        <w:t xml:space="preserve">, B., Hafiz, S., Malik, A., &amp; </w:t>
      </w:r>
      <w:proofErr w:type="spellStart"/>
      <w:r w:rsidRPr="0017459F">
        <w:rPr>
          <w:rFonts w:ascii="Arial" w:eastAsia="Times New Roman" w:hAnsi="Arial" w:cs="Arial"/>
          <w:color w:val="373A3C"/>
          <w:sz w:val="23"/>
          <w:szCs w:val="23"/>
        </w:rPr>
        <w:t>Shamoon</w:t>
      </w:r>
      <w:proofErr w:type="spellEnd"/>
      <w:r w:rsidRPr="0017459F">
        <w:rPr>
          <w:rFonts w:ascii="Arial" w:eastAsia="Times New Roman" w:hAnsi="Arial" w:cs="Arial"/>
          <w:color w:val="373A3C"/>
          <w:sz w:val="23"/>
          <w:szCs w:val="23"/>
        </w:rPr>
        <w:t>, Z. (2022, July 4). </w:t>
      </w:r>
      <w:r w:rsidRPr="0017459F">
        <w:rPr>
          <w:rFonts w:ascii="Arial" w:eastAsia="Times New Roman" w:hAnsi="Arial" w:cs="Arial"/>
          <w:i/>
          <w:iCs/>
          <w:color w:val="373A3C"/>
          <w:sz w:val="23"/>
          <w:szCs w:val="23"/>
        </w:rPr>
        <w:t>Cultural competence in the care of Muslim patients and their families</w:t>
      </w:r>
      <w:r w:rsidRPr="0017459F">
        <w:rPr>
          <w:rFonts w:ascii="Arial" w:eastAsia="Times New Roman" w:hAnsi="Arial" w:cs="Arial"/>
          <w:color w:val="373A3C"/>
          <w:sz w:val="23"/>
          <w:szCs w:val="23"/>
        </w:rPr>
        <w:t>. Retrieved January 9, 2023, from https://www.ncbi.nlm.nih.gov/books/NBK499933/</w:t>
      </w:r>
    </w:p>
    <w:p w14:paraId="6935AEE0"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Mendieta, M., &amp; Buckingham, R. W. (2017). A review of palliative and hospice care in the context of Islam: Dying with faith and family. </w:t>
      </w:r>
      <w:r w:rsidRPr="0017459F">
        <w:rPr>
          <w:rFonts w:ascii="Arial" w:eastAsia="Times New Roman" w:hAnsi="Arial" w:cs="Arial"/>
          <w:i/>
          <w:iCs/>
          <w:color w:val="373A3C"/>
          <w:sz w:val="23"/>
          <w:szCs w:val="23"/>
        </w:rPr>
        <w:t>Journal of Palliative Medicine</w:t>
      </w:r>
      <w:r w:rsidRPr="0017459F">
        <w:rPr>
          <w:rFonts w:ascii="Arial" w:eastAsia="Times New Roman" w:hAnsi="Arial" w:cs="Arial"/>
          <w:color w:val="373A3C"/>
          <w:sz w:val="23"/>
          <w:szCs w:val="23"/>
        </w:rPr>
        <w:t>, </w:t>
      </w:r>
      <w:r w:rsidRPr="0017459F">
        <w:rPr>
          <w:rFonts w:ascii="Arial" w:eastAsia="Times New Roman" w:hAnsi="Arial" w:cs="Arial"/>
          <w:i/>
          <w:iCs/>
          <w:color w:val="373A3C"/>
          <w:sz w:val="23"/>
          <w:szCs w:val="23"/>
        </w:rPr>
        <w:t>20</w:t>
      </w:r>
      <w:r w:rsidRPr="0017459F">
        <w:rPr>
          <w:rFonts w:ascii="Arial" w:eastAsia="Times New Roman" w:hAnsi="Arial" w:cs="Arial"/>
          <w:color w:val="373A3C"/>
          <w:sz w:val="23"/>
          <w:szCs w:val="23"/>
        </w:rPr>
        <w:t>(11), 1284–1290. https://doi.org/10.1089/jpm.2017.0340</w:t>
      </w:r>
    </w:p>
    <w:p w14:paraId="4B82A64F"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proofErr w:type="spellStart"/>
      <w:r w:rsidRPr="0017459F">
        <w:rPr>
          <w:rFonts w:ascii="Arial" w:eastAsia="Times New Roman" w:hAnsi="Arial" w:cs="Arial"/>
          <w:color w:val="373A3C"/>
          <w:sz w:val="23"/>
          <w:szCs w:val="23"/>
        </w:rPr>
        <w:t>Nahin</w:t>
      </w:r>
      <w:proofErr w:type="spellEnd"/>
      <w:r w:rsidRPr="0017459F">
        <w:rPr>
          <w:rFonts w:ascii="Arial" w:eastAsia="Times New Roman" w:hAnsi="Arial" w:cs="Arial"/>
          <w:color w:val="373A3C"/>
          <w:sz w:val="23"/>
          <w:szCs w:val="23"/>
        </w:rPr>
        <w:t>, R. L. (2022). Use of Multimodal Multidisciplinary Pain Management in the US. </w:t>
      </w:r>
      <w:r w:rsidRPr="0017459F">
        <w:rPr>
          <w:rFonts w:ascii="Arial" w:eastAsia="Times New Roman" w:hAnsi="Arial" w:cs="Arial"/>
          <w:i/>
          <w:iCs/>
          <w:color w:val="373A3C"/>
          <w:sz w:val="23"/>
          <w:szCs w:val="23"/>
        </w:rPr>
        <w:t>JAMA Network Open</w:t>
      </w:r>
      <w:r w:rsidRPr="0017459F">
        <w:rPr>
          <w:rFonts w:ascii="Arial" w:eastAsia="Times New Roman" w:hAnsi="Arial" w:cs="Arial"/>
          <w:color w:val="373A3C"/>
          <w:sz w:val="23"/>
          <w:szCs w:val="23"/>
        </w:rPr>
        <w:t>, </w:t>
      </w:r>
      <w:r w:rsidRPr="0017459F">
        <w:rPr>
          <w:rFonts w:ascii="Arial" w:eastAsia="Times New Roman" w:hAnsi="Arial" w:cs="Arial"/>
          <w:i/>
          <w:iCs/>
          <w:color w:val="373A3C"/>
          <w:sz w:val="23"/>
          <w:szCs w:val="23"/>
        </w:rPr>
        <w:t>5</w:t>
      </w:r>
      <w:r w:rsidRPr="0017459F">
        <w:rPr>
          <w:rFonts w:ascii="Arial" w:eastAsia="Times New Roman" w:hAnsi="Arial" w:cs="Arial"/>
          <w:color w:val="373A3C"/>
          <w:sz w:val="23"/>
          <w:szCs w:val="23"/>
        </w:rPr>
        <w:t>(11), e2240620. </w:t>
      </w:r>
      <w:hyperlink r:id="rId6" w:history="1">
        <w:r w:rsidRPr="0017459F">
          <w:rPr>
            <w:rFonts w:ascii="Arial" w:eastAsia="Times New Roman" w:hAnsi="Arial" w:cs="Arial"/>
            <w:color w:val="0000FF"/>
            <w:sz w:val="23"/>
            <w:szCs w:val="23"/>
            <w:u w:val="single"/>
          </w:rPr>
          <w:t>https://doi.org/10.1001/jamanetworkopen.2022.40620</w:t>
        </w:r>
      </w:hyperlink>
    </w:p>
    <w:p w14:paraId="6E3303DB" w14:textId="77777777" w:rsidR="0017459F" w:rsidRPr="0017459F" w:rsidRDefault="0017459F" w:rsidP="0017459F">
      <w:pPr>
        <w:shd w:val="clear" w:color="auto" w:fill="FFFFFF"/>
        <w:spacing w:after="100" w:afterAutospacing="1" w:line="240" w:lineRule="auto"/>
        <w:rPr>
          <w:rFonts w:ascii="Arial" w:eastAsia="Times New Roman" w:hAnsi="Arial" w:cs="Arial"/>
          <w:color w:val="373A3C"/>
          <w:sz w:val="23"/>
          <w:szCs w:val="23"/>
        </w:rPr>
      </w:pPr>
      <w:r w:rsidRPr="0017459F">
        <w:rPr>
          <w:rFonts w:ascii="Arial" w:eastAsia="Times New Roman" w:hAnsi="Arial" w:cs="Arial"/>
          <w:color w:val="373A3C"/>
          <w:sz w:val="23"/>
          <w:szCs w:val="23"/>
        </w:rPr>
        <w:t>Sachedina A. (2005). End-of-life: the Islamic view. </w:t>
      </w:r>
      <w:r w:rsidRPr="0017459F">
        <w:rPr>
          <w:rFonts w:ascii="Arial" w:eastAsia="Times New Roman" w:hAnsi="Arial" w:cs="Arial"/>
          <w:i/>
          <w:iCs/>
          <w:color w:val="373A3C"/>
          <w:sz w:val="23"/>
          <w:szCs w:val="23"/>
        </w:rPr>
        <w:t>Lancet</w:t>
      </w:r>
      <w:r w:rsidRPr="0017459F">
        <w:rPr>
          <w:rFonts w:ascii="Arial" w:eastAsia="Times New Roman" w:hAnsi="Arial" w:cs="Arial"/>
          <w:color w:val="373A3C"/>
          <w:sz w:val="23"/>
          <w:szCs w:val="23"/>
        </w:rPr>
        <w:t>, </w:t>
      </w:r>
      <w:r w:rsidRPr="0017459F">
        <w:rPr>
          <w:rFonts w:ascii="Arial" w:eastAsia="Times New Roman" w:hAnsi="Arial" w:cs="Arial"/>
          <w:i/>
          <w:iCs/>
          <w:color w:val="373A3C"/>
          <w:sz w:val="23"/>
          <w:szCs w:val="23"/>
        </w:rPr>
        <w:t>366</w:t>
      </w:r>
      <w:r w:rsidRPr="0017459F">
        <w:rPr>
          <w:rFonts w:ascii="Arial" w:eastAsia="Times New Roman" w:hAnsi="Arial" w:cs="Arial"/>
          <w:color w:val="373A3C"/>
          <w:sz w:val="23"/>
          <w:szCs w:val="23"/>
        </w:rPr>
        <w:t>(9487), 774–779. https://doi.org/10.1016/s0140-6736(05)67183-8</w:t>
      </w:r>
    </w:p>
    <w:p w14:paraId="20FCB7E5" w14:textId="77777777" w:rsidR="0017459F" w:rsidRDefault="0017459F"/>
    <w:sectPr w:rsidR="00174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9F"/>
    <w:rsid w:val="0017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7166"/>
  <w15:chartTrackingRefBased/>
  <w15:docId w15:val="{6810265E-5371-4840-B87C-C624DDDE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8744">
      <w:bodyDiv w:val="1"/>
      <w:marLeft w:val="0"/>
      <w:marRight w:val="0"/>
      <w:marTop w:val="0"/>
      <w:marBottom w:val="0"/>
      <w:divBdr>
        <w:top w:val="none" w:sz="0" w:space="0" w:color="auto"/>
        <w:left w:val="none" w:sz="0" w:space="0" w:color="auto"/>
        <w:bottom w:val="none" w:sz="0" w:space="0" w:color="auto"/>
        <w:right w:val="none" w:sz="0" w:space="0" w:color="auto"/>
      </w:divBdr>
      <w:divsChild>
        <w:div w:id="1740055324">
          <w:marLeft w:val="0"/>
          <w:marRight w:val="0"/>
          <w:marTop w:val="0"/>
          <w:marBottom w:val="0"/>
          <w:divBdr>
            <w:top w:val="none" w:sz="0" w:space="0" w:color="auto"/>
            <w:left w:val="none" w:sz="0" w:space="0" w:color="auto"/>
            <w:bottom w:val="none" w:sz="0" w:space="0" w:color="auto"/>
            <w:right w:val="none" w:sz="0" w:space="0" w:color="auto"/>
          </w:divBdr>
          <w:divsChild>
            <w:div w:id="887381231">
              <w:marLeft w:val="0"/>
              <w:marRight w:val="0"/>
              <w:marTop w:val="0"/>
              <w:marBottom w:val="0"/>
              <w:divBdr>
                <w:top w:val="none" w:sz="0" w:space="0" w:color="auto"/>
                <w:left w:val="none" w:sz="0" w:space="0" w:color="auto"/>
                <w:bottom w:val="none" w:sz="0" w:space="0" w:color="auto"/>
                <w:right w:val="none" w:sz="0" w:space="0" w:color="auto"/>
              </w:divBdr>
            </w:div>
          </w:divsChild>
        </w:div>
        <w:div w:id="1254313157">
          <w:marLeft w:val="0"/>
          <w:marRight w:val="0"/>
          <w:marTop w:val="0"/>
          <w:marBottom w:val="0"/>
          <w:divBdr>
            <w:top w:val="none" w:sz="0" w:space="0" w:color="auto"/>
            <w:left w:val="none" w:sz="0" w:space="0" w:color="auto"/>
            <w:bottom w:val="none" w:sz="0" w:space="0" w:color="auto"/>
            <w:right w:val="none" w:sz="0" w:space="0" w:color="auto"/>
          </w:divBdr>
          <w:divsChild>
            <w:div w:id="20678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2118">
      <w:bodyDiv w:val="1"/>
      <w:marLeft w:val="0"/>
      <w:marRight w:val="0"/>
      <w:marTop w:val="0"/>
      <w:marBottom w:val="0"/>
      <w:divBdr>
        <w:top w:val="none" w:sz="0" w:space="0" w:color="auto"/>
        <w:left w:val="none" w:sz="0" w:space="0" w:color="auto"/>
        <w:bottom w:val="none" w:sz="0" w:space="0" w:color="auto"/>
        <w:right w:val="none" w:sz="0" w:space="0" w:color="auto"/>
      </w:divBdr>
      <w:divsChild>
        <w:div w:id="858200899">
          <w:marLeft w:val="0"/>
          <w:marRight w:val="0"/>
          <w:marTop w:val="0"/>
          <w:marBottom w:val="0"/>
          <w:divBdr>
            <w:top w:val="none" w:sz="0" w:space="0" w:color="auto"/>
            <w:left w:val="none" w:sz="0" w:space="0" w:color="auto"/>
            <w:bottom w:val="none" w:sz="0" w:space="0" w:color="auto"/>
            <w:right w:val="none" w:sz="0" w:space="0" w:color="auto"/>
          </w:divBdr>
          <w:divsChild>
            <w:div w:id="1648438066">
              <w:marLeft w:val="0"/>
              <w:marRight w:val="0"/>
              <w:marTop w:val="0"/>
              <w:marBottom w:val="0"/>
              <w:divBdr>
                <w:top w:val="none" w:sz="0" w:space="0" w:color="auto"/>
                <w:left w:val="none" w:sz="0" w:space="0" w:color="auto"/>
                <w:bottom w:val="none" w:sz="0" w:space="0" w:color="auto"/>
                <w:right w:val="none" w:sz="0" w:space="0" w:color="auto"/>
              </w:divBdr>
            </w:div>
          </w:divsChild>
        </w:div>
        <w:div w:id="1939563152">
          <w:marLeft w:val="0"/>
          <w:marRight w:val="0"/>
          <w:marTop w:val="0"/>
          <w:marBottom w:val="0"/>
          <w:divBdr>
            <w:top w:val="none" w:sz="0" w:space="0" w:color="auto"/>
            <w:left w:val="none" w:sz="0" w:space="0" w:color="auto"/>
            <w:bottom w:val="none" w:sz="0" w:space="0" w:color="auto"/>
            <w:right w:val="none" w:sz="0" w:space="0" w:color="auto"/>
          </w:divBdr>
          <w:divsChild>
            <w:div w:id="1550191286">
              <w:marLeft w:val="0"/>
              <w:marRight w:val="0"/>
              <w:marTop w:val="0"/>
              <w:marBottom w:val="0"/>
              <w:divBdr>
                <w:top w:val="none" w:sz="0" w:space="0" w:color="auto"/>
                <w:left w:val="none" w:sz="0" w:space="0" w:color="auto"/>
                <w:bottom w:val="none" w:sz="0" w:space="0" w:color="auto"/>
                <w:right w:val="none" w:sz="0" w:space="0" w:color="auto"/>
              </w:divBdr>
              <w:divsChild>
                <w:div w:id="18021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1/jamanetworkopen.2022.40620" TargetMode="External"/><Relationship Id="rId5" Type="http://schemas.openxmlformats.org/officeDocument/2006/relationships/hyperlink" Target="https://myonline.regiscollege.edu/user/view.php?id=6452&amp;course=4529" TargetMode="External"/><Relationship Id="rId4" Type="http://schemas.openxmlformats.org/officeDocument/2006/relationships/hyperlink" Target="https://myonline.regiscollege.edu/user/view.php?id=6057&amp;course=4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2023-01-12T20:35:00Z</dcterms:created>
  <dcterms:modified xsi:type="dcterms:W3CDTF">2023-01-12T20:38:00Z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ee6d7283-10f8-4e9b-b1b3-170e22b6e5b3</vt:lpwstr>
  </property>
</Properties>
</file>