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b/>
          <w:bCs/>
        </w:rPr>
        <w:t xml:space="preserve">HEALTH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Information about the patient (3 points)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Name (initials only); age, and gender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Source of information; note relationship to patient, if relevant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Reliability of information</w:t>
      </w:r>
    </w:p>
    <w:p>
      <w:pPr>
        <w:rPr>
          <w:b/>
          <w:bCs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Chief Complaint (1 point)</w:t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</w:p>
    <w:p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Subjective – 25%</w:t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</w:p>
    <w:p>
      <w:pPr>
        <w:rPr>
          <w:b/>
          <w:bCs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History of Presenting Illness (8 points)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Location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Quality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Quantity or severity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Timing (onset, duration, frequency)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Setting in which it occurs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Factors that aggravate or relieve the symptoms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Associated manifestations</w:t>
      </w:r>
    </w:p>
    <w:p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Review of Focus System(s) (5 points) Address your specific problem</w:t>
      </w:r>
    </w:p>
    <w:p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Medications/Allergies (3 points)</w:t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History (5 points)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Past Medical History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Past Surgical History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Family History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Social History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Health Maintenance Practices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</w:p>
    <w:p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Objective – 30%</w:t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t>Physical exam includes appropriate areas for Chief Complaint, History of Presenting Illness, and Review of Systems (20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t>Appropriate techniques of examination used to identify pertinent findings (10 points)</w:t>
      </w:r>
    </w:p>
    <w:p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Assessment – 20%</w:t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t>Differential diagnoses are supported by subjective and objective findings (15 points)</w:t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cs="Arial"/>
          <w:b/>
          <w:bCs/>
          <w:color w:val="000000"/>
          <w:sz w:val="27"/>
          <w:szCs w:val="27"/>
        </w:rPr>
        <w:t>Scholarly resources support differential diagnoses (5 points)</w:t>
      </w:r>
    </w:p>
    <w:p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Plan – 15%</w:t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Comprehensive plan to address likely differential diagnosis includes (9 points)</w:t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br w:type="textWrapping"/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Diagnostic testing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Pharmacologic intervention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Non-pharmacologic intervention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Referrals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Patient education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Follow-up</w:t>
      </w:r>
    </w:p>
    <w:p>
      <w:pPr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</w:rPr>
        <w:t>Plan is supported by appropriate and current practice guidelines (6 points)</w:t>
      </w:r>
    </w:p>
    <w:p>
      <w:pPr>
        <w:rPr>
          <w:rFonts w:ascii="Arial" w:hAnsi="Arial" w:eastAsia="Times New Roman" w:cs="Arial"/>
          <w:b/>
          <w:bCs/>
          <w:color w:val="00000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Patient described in appropriate detail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Concise and clear chief complaint as described by patient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HPI includes all components with appropriate detail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Comprehensive review of focus system(s) includes pertinent negatives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Name, dose, route, and frequency of prescribed and over-the-counter medications noted, including compliance;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Allergies to medications and reaction noted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Comprehensive health history is appropriate to reason for visit and includes pertinent negatives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25 points</w:t>
      </w: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Appropriate areas and systems included in physical assessment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Comprehensive techniques of observation, palpation, percussion, and auscultation noted including special assessments as appropriate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30 points</w:t>
      </w: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Three differential diagnoses are supported by findings and include worst case scenario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Rationale for differential diagnoses provided by scholarly resources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20 points</w:t>
      </w: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Comprehensive plan includes all components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Appropriate and current guidelines cited</w:t>
      </w: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Logical and systematic organization of data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Correct terminology, spelling, and grammar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Scholarly resources noted in correct APA format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10 points</w:t>
      </w:r>
      <w:bookmarkStart w:id="0" w:name="_GoBack"/>
      <w:bookmarkEnd w:id="0"/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spacing w:line="240" w:lineRule="auto"/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60038"/>
    <w:multiLevelType w:val="multilevel"/>
    <w:tmpl w:val="00F600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9F130C"/>
    <w:multiLevelType w:val="multilevel"/>
    <w:tmpl w:val="079F13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F0C5328"/>
    <w:multiLevelType w:val="multilevel"/>
    <w:tmpl w:val="4F0C53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FE01238"/>
    <w:multiLevelType w:val="multilevel"/>
    <w:tmpl w:val="4FE012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5F"/>
    <w:rsid w:val="00027562"/>
    <w:rsid w:val="000D2773"/>
    <w:rsid w:val="002B55C4"/>
    <w:rsid w:val="00375B5F"/>
    <w:rsid w:val="00437E51"/>
    <w:rsid w:val="00524EE1"/>
    <w:rsid w:val="00596388"/>
    <w:rsid w:val="00D45A7C"/>
    <w:rsid w:val="00F838C6"/>
    <w:rsid w:val="5FF8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79FA-5DA2-4788-BE21-6BFABC1C8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1148</Characters>
  <Lines>31</Lines>
  <Paragraphs>18</Paragraphs>
  <TotalTime>13</TotalTime>
  <ScaleCrop>false</ScaleCrop>
  <LinksUpToDate>false</LinksUpToDate>
  <CharactersWithSpaces>1335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2023-01-28T14:33:00Z</dcterms:created>
  <dc:creator>Elma</dc:creator>
  <cp:lastModifiedBy>annet</cp:lastModifiedBy>
  <dcterms:modified xsi:type="dcterms:W3CDTF">2023-01-29T11:12:24Z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80faed2b-9d19-455b-a9f2-6ae0387da045</vt:lpwstr>
  </property>
  <property fmtid="{D5CDD505-2E9C-101B-9397-08002B2CF9AE}" pid="3" name="KSOProductBuildVer">
    <vt:lpwstr>1033-11.2.0.11440</vt:lpwstr>
  </property>
  <property fmtid="{D5CDD505-2E9C-101B-9397-08002B2CF9AE}" pid="4" name="ICV">
    <vt:lpwstr>8602BF28E0E74393AF3D3B1295A811BD</vt:lpwstr>
  </property>
</Properties>
</file>