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06B5" w:rsidRDefault="008F06B5" w:rsidP="00AF68C0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6405">
        <w:rPr>
          <w:rFonts w:ascii="Times New Roman" w:hAnsi="Times New Roman" w:cs="Times New Roman"/>
          <w:b/>
          <w:sz w:val="24"/>
          <w:szCs w:val="24"/>
        </w:rPr>
        <w:t>Week 13 Discussion: Practical/Clinical Issue</w:t>
      </w:r>
      <w:bookmarkStart w:id="0" w:name="_GoBack"/>
      <w:bookmarkEnd w:id="0"/>
    </w:p>
    <w:p w:rsidR="00146B13" w:rsidRDefault="00146B13" w:rsidP="00AF68C0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46B13">
        <w:rPr>
          <w:rFonts w:ascii="Times New Roman" w:hAnsi="Times New Roman" w:cs="Times New Roman"/>
          <w:b/>
          <w:sz w:val="24"/>
          <w:szCs w:val="24"/>
        </w:rPr>
        <w:t xml:space="preserve">Problem: </w:t>
      </w:r>
      <w:r w:rsidR="00160CF4">
        <w:rPr>
          <w:rFonts w:ascii="Times New Roman" w:hAnsi="Times New Roman" w:cs="Times New Roman"/>
          <w:sz w:val="24"/>
          <w:szCs w:val="24"/>
        </w:rPr>
        <w:t>Non-Adherence to Suicide Risk Assessment Protocols in a Psychiatric Setting</w:t>
      </w:r>
    </w:p>
    <w:p w:rsidR="00701941" w:rsidRDefault="00DD142A" w:rsidP="00C73BD6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Suicide in mental health patients remains on the rise across the U.S., despite the expansion of evidence-based treatments. </w:t>
      </w:r>
      <w:r w:rsidR="008C4024">
        <w:rPr>
          <w:rFonts w:ascii="Times New Roman" w:hAnsi="Times New Roman" w:cs="Times New Roman"/>
          <w:sz w:val="24"/>
          <w:szCs w:val="24"/>
        </w:rPr>
        <w:t xml:space="preserve">Consequently, suicide prevention has become a national priority, with guidance requiring the development of </w:t>
      </w:r>
      <w:r w:rsidR="00B75BF6">
        <w:rPr>
          <w:rFonts w:ascii="Times New Roman" w:hAnsi="Times New Roman" w:cs="Times New Roman"/>
          <w:sz w:val="24"/>
          <w:szCs w:val="24"/>
        </w:rPr>
        <w:t>appropriate protocols for the assessment and management of suicidal ideation and behavior (</w:t>
      </w:r>
      <w:r w:rsidR="0095292E">
        <w:rPr>
          <w:rFonts w:ascii="Times New Roman" w:hAnsi="Times New Roman" w:cs="Times New Roman"/>
          <w:sz w:val="24"/>
          <w:szCs w:val="24"/>
        </w:rPr>
        <w:t>Hughes et al., 2023</w:t>
      </w:r>
      <w:r w:rsidR="00B75BF6">
        <w:rPr>
          <w:rFonts w:ascii="Times New Roman" w:hAnsi="Times New Roman" w:cs="Times New Roman"/>
          <w:sz w:val="24"/>
          <w:szCs w:val="24"/>
        </w:rPr>
        <w:t xml:space="preserve">). </w:t>
      </w:r>
      <w:r>
        <w:rPr>
          <w:rFonts w:ascii="Times New Roman" w:hAnsi="Times New Roman" w:cs="Times New Roman"/>
          <w:sz w:val="24"/>
          <w:szCs w:val="24"/>
        </w:rPr>
        <w:t xml:space="preserve">Suicide risk assessment </w:t>
      </w:r>
      <w:r w:rsidR="00642B3E">
        <w:rPr>
          <w:rFonts w:ascii="Times New Roman" w:hAnsi="Times New Roman" w:cs="Times New Roman"/>
          <w:sz w:val="24"/>
          <w:szCs w:val="24"/>
        </w:rPr>
        <w:t>provid</w:t>
      </w:r>
      <w:r w:rsidR="00C73BD6">
        <w:rPr>
          <w:rFonts w:ascii="Times New Roman" w:hAnsi="Times New Roman" w:cs="Times New Roman"/>
          <w:sz w:val="24"/>
          <w:szCs w:val="24"/>
        </w:rPr>
        <w:t>es an</w:t>
      </w:r>
      <w:r w:rsidR="00642B3E">
        <w:rPr>
          <w:rFonts w:ascii="Times New Roman" w:hAnsi="Times New Roman" w:cs="Times New Roman"/>
          <w:sz w:val="24"/>
          <w:szCs w:val="24"/>
        </w:rPr>
        <w:t xml:space="preserve"> opportunity for</w:t>
      </w:r>
      <w:r w:rsidR="00C73BD6">
        <w:rPr>
          <w:rFonts w:ascii="Times New Roman" w:hAnsi="Times New Roman" w:cs="Times New Roman"/>
          <w:sz w:val="24"/>
          <w:szCs w:val="24"/>
        </w:rPr>
        <w:t xml:space="preserve"> mental health clinicians to</w:t>
      </w:r>
      <w:r w:rsidR="00642B3E">
        <w:rPr>
          <w:rFonts w:ascii="Times New Roman" w:hAnsi="Times New Roman" w:cs="Times New Roman"/>
          <w:sz w:val="24"/>
          <w:szCs w:val="24"/>
        </w:rPr>
        <w:t xml:space="preserve"> engagement </w:t>
      </w:r>
      <w:r w:rsidR="00C73BD6">
        <w:rPr>
          <w:rFonts w:ascii="Times New Roman" w:hAnsi="Times New Roman" w:cs="Times New Roman"/>
          <w:sz w:val="24"/>
          <w:szCs w:val="24"/>
        </w:rPr>
        <w:t xml:space="preserve">therapeutically with patients </w:t>
      </w:r>
      <w:r w:rsidR="00C22F2D">
        <w:rPr>
          <w:rFonts w:ascii="Times New Roman" w:hAnsi="Times New Roman" w:cs="Times New Roman"/>
          <w:sz w:val="24"/>
          <w:szCs w:val="24"/>
        </w:rPr>
        <w:t xml:space="preserve">to </w:t>
      </w:r>
      <w:r w:rsidR="00642B3E">
        <w:rPr>
          <w:rFonts w:ascii="Times New Roman" w:hAnsi="Times New Roman" w:cs="Times New Roman"/>
          <w:sz w:val="24"/>
          <w:szCs w:val="24"/>
        </w:rPr>
        <w:t>relieving suffering and averting suicide (</w:t>
      </w:r>
      <w:r w:rsidR="0095292E">
        <w:rPr>
          <w:rFonts w:ascii="Times New Roman" w:hAnsi="Times New Roman" w:cs="Times New Roman"/>
          <w:sz w:val="24"/>
          <w:szCs w:val="24"/>
        </w:rPr>
        <w:t xml:space="preserve">Ryan &amp; </w:t>
      </w:r>
      <w:proofErr w:type="spellStart"/>
      <w:r w:rsidR="0095292E">
        <w:rPr>
          <w:rFonts w:ascii="Times New Roman" w:hAnsi="Times New Roman" w:cs="Times New Roman"/>
          <w:sz w:val="24"/>
          <w:szCs w:val="24"/>
        </w:rPr>
        <w:t>Oquendo</w:t>
      </w:r>
      <w:proofErr w:type="spellEnd"/>
      <w:r w:rsidR="0095292E">
        <w:rPr>
          <w:rFonts w:ascii="Times New Roman" w:hAnsi="Times New Roman" w:cs="Times New Roman"/>
          <w:sz w:val="24"/>
          <w:szCs w:val="24"/>
        </w:rPr>
        <w:t>, 2020</w:t>
      </w:r>
      <w:r w:rsidR="008C4024">
        <w:rPr>
          <w:rFonts w:ascii="Times New Roman" w:hAnsi="Times New Roman" w:cs="Times New Roman"/>
          <w:sz w:val="24"/>
          <w:szCs w:val="24"/>
        </w:rPr>
        <w:t xml:space="preserve">). </w:t>
      </w:r>
      <w:r w:rsidR="00B75BF6">
        <w:rPr>
          <w:rFonts w:ascii="Times New Roman" w:hAnsi="Times New Roman" w:cs="Times New Roman"/>
          <w:sz w:val="24"/>
          <w:szCs w:val="24"/>
        </w:rPr>
        <w:t xml:space="preserve">However, </w:t>
      </w:r>
      <w:r w:rsidR="00622A1E">
        <w:rPr>
          <w:rFonts w:ascii="Times New Roman" w:hAnsi="Times New Roman" w:cs="Times New Roman"/>
          <w:sz w:val="24"/>
          <w:szCs w:val="24"/>
        </w:rPr>
        <w:t xml:space="preserve">clinicians often face challenges in integrating and using formal risk assessment </w:t>
      </w:r>
      <w:r w:rsidR="005850A9">
        <w:rPr>
          <w:rFonts w:ascii="Times New Roman" w:hAnsi="Times New Roman" w:cs="Times New Roman"/>
          <w:sz w:val="24"/>
          <w:szCs w:val="24"/>
        </w:rPr>
        <w:t xml:space="preserve">protocols in their daily practice. </w:t>
      </w:r>
      <w:r w:rsidR="00936755">
        <w:rPr>
          <w:rFonts w:ascii="Times New Roman" w:hAnsi="Times New Roman" w:cs="Times New Roman"/>
          <w:sz w:val="24"/>
          <w:szCs w:val="24"/>
        </w:rPr>
        <w:t>According to</w:t>
      </w:r>
      <w:r w:rsidR="00762716">
        <w:rPr>
          <w:rFonts w:ascii="Times New Roman" w:hAnsi="Times New Roman" w:cs="Times New Roman"/>
          <w:sz w:val="24"/>
          <w:szCs w:val="24"/>
        </w:rPr>
        <w:t xml:space="preserve"> Rudd and Bryan (2022)</w:t>
      </w:r>
      <w:r w:rsidR="00936755">
        <w:rPr>
          <w:rFonts w:ascii="Times New Roman" w:hAnsi="Times New Roman" w:cs="Times New Roman"/>
          <w:sz w:val="24"/>
          <w:szCs w:val="24"/>
        </w:rPr>
        <w:t>, the limited predictive value of many screening tools discourage use, despite uniform recommendation in research and clinical guidelines.</w:t>
      </w:r>
      <w:r w:rsidR="00C960FB">
        <w:rPr>
          <w:rFonts w:ascii="Times New Roman" w:hAnsi="Times New Roman" w:cs="Times New Roman"/>
          <w:sz w:val="24"/>
          <w:szCs w:val="24"/>
        </w:rPr>
        <w:t xml:space="preserve"> In</w:t>
      </w:r>
      <w:r w:rsidR="00EA5F76">
        <w:rPr>
          <w:rFonts w:ascii="Times New Roman" w:hAnsi="Times New Roman" w:cs="Times New Roman"/>
          <w:sz w:val="24"/>
          <w:szCs w:val="24"/>
        </w:rPr>
        <w:t xml:space="preserve"> the practice setting, non-adherence to the protocols relates to factors such as</w:t>
      </w:r>
      <w:r w:rsidR="004A0764">
        <w:rPr>
          <w:rFonts w:ascii="Times New Roman" w:hAnsi="Times New Roman" w:cs="Times New Roman"/>
          <w:sz w:val="24"/>
          <w:szCs w:val="24"/>
        </w:rPr>
        <w:t xml:space="preserve"> inadequate training </w:t>
      </w:r>
      <w:r w:rsidR="00C960FB">
        <w:rPr>
          <w:rFonts w:ascii="Times New Roman" w:hAnsi="Times New Roman" w:cs="Times New Roman"/>
          <w:sz w:val="24"/>
          <w:szCs w:val="24"/>
        </w:rPr>
        <w:t>in using the protocols or tools,</w:t>
      </w:r>
      <w:r w:rsidR="00E37068">
        <w:rPr>
          <w:rFonts w:ascii="Times New Roman" w:hAnsi="Times New Roman" w:cs="Times New Roman"/>
          <w:sz w:val="24"/>
          <w:szCs w:val="24"/>
        </w:rPr>
        <w:t xml:space="preserve"> poor </w:t>
      </w:r>
      <w:r w:rsidR="004A0764">
        <w:rPr>
          <w:rFonts w:ascii="Times New Roman" w:hAnsi="Times New Roman" w:cs="Times New Roman"/>
          <w:sz w:val="24"/>
          <w:szCs w:val="24"/>
        </w:rPr>
        <w:t xml:space="preserve">staff </w:t>
      </w:r>
      <w:r w:rsidR="00E37068">
        <w:rPr>
          <w:rFonts w:ascii="Times New Roman" w:hAnsi="Times New Roman" w:cs="Times New Roman"/>
          <w:sz w:val="24"/>
          <w:szCs w:val="24"/>
        </w:rPr>
        <w:t xml:space="preserve">supervision, and </w:t>
      </w:r>
      <w:r w:rsidR="004A0764">
        <w:rPr>
          <w:rFonts w:ascii="Times New Roman" w:hAnsi="Times New Roman" w:cs="Times New Roman"/>
          <w:sz w:val="24"/>
          <w:szCs w:val="24"/>
        </w:rPr>
        <w:t>perceived fear of negative reaction from patients</w:t>
      </w:r>
      <w:r w:rsidR="00E37068">
        <w:rPr>
          <w:rFonts w:ascii="Times New Roman" w:hAnsi="Times New Roman" w:cs="Times New Roman"/>
          <w:sz w:val="24"/>
          <w:szCs w:val="24"/>
        </w:rPr>
        <w:t xml:space="preserve"> lead to non-adherence to the protocols (</w:t>
      </w:r>
      <w:r w:rsidR="00762716">
        <w:rPr>
          <w:rFonts w:ascii="Times New Roman" w:hAnsi="Times New Roman" w:cs="Times New Roman"/>
          <w:sz w:val="24"/>
          <w:szCs w:val="24"/>
        </w:rPr>
        <w:t xml:space="preserve">Ahmed et al., 2021; </w:t>
      </w:r>
      <w:proofErr w:type="spellStart"/>
      <w:r w:rsidR="00762716">
        <w:rPr>
          <w:rFonts w:ascii="Times New Roman" w:hAnsi="Times New Roman" w:cs="Times New Roman"/>
          <w:sz w:val="24"/>
          <w:szCs w:val="24"/>
        </w:rPr>
        <w:t>Schatten</w:t>
      </w:r>
      <w:proofErr w:type="spellEnd"/>
      <w:r w:rsidR="00762716">
        <w:rPr>
          <w:rFonts w:ascii="Times New Roman" w:hAnsi="Times New Roman" w:cs="Times New Roman"/>
          <w:sz w:val="24"/>
          <w:szCs w:val="24"/>
        </w:rPr>
        <w:t xml:space="preserve"> et al., 2020</w:t>
      </w:r>
      <w:r w:rsidR="00EA5F76">
        <w:rPr>
          <w:rFonts w:ascii="Times New Roman" w:hAnsi="Times New Roman" w:cs="Times New Roman"/>
          <w:sz w:val="24"/>
          <w:szCs w:val="24"/>
        </w:rPr>
        <w:t>;</w:t>
      </w:r>
      <w:r w:rsidR="002B707E">
        <w:rPr>
          <w:rFonts w:ascii="Times New Roman" w:hAnsi="Times New Roman" w:cs="Times New Roman"/>
          <w:sz w:val="24"/>
          <w:szCs w:val="24"/>
        </w:rPr>
        <w:t xml:space="preserve"> Stevens et al., 2021</w:t>
      </w:r>
      <w:r w:rsidR="00E37068">
        <w:rPr>
          <w:rFonts w:ascii="Times New Roman" w:hAnsi="Times New Roman" w:cs="Times New Roman"/>
          <w:sz w:val="24"/>
          <w:szCs w:val="24"/>
        </w:rPr>
        <w:t xml:space="preserve">). </w:t>
      </w:r>
      <w:r w:rsidR="00302AC0">
        <w:rPr>
          <w:rFonts w:ascii="Times New Roman" w:hAnsi="Times New Roman" w:cs="Times New Roman"/>
          <w:sz w:val="24"/>
          <w:szCs w:val="24"/>
        </w:rPr>
        <w:t xml:space="preserve">The failure to follow the protocols could lead to several possible negative outcomes. </w:t>
      </w:r>
      <w:r w:rsidR="009F61F7">
        <w:rPr>
          <w:rFonts w:ascii="Times New Roman" w:hAnsi="Times New Roman" w:cs="Times New Roman"/>
          <w:sz w:val="24"/>
          <w:szCs w:val="24"/>
        </w:rPr>
        <w:t>As supported by</w:t>
      </w:r>
      <w:r w:rsidR="002B707E">
        <w:rPr>
          <w:rFonts w:ascii="Times New Roman" w:hAnsi="Times New Roman" w:cs="Times New Roman"/>
          <w:sz w:val="24"/>
          <w:szCs w:val="24"/>
        </w:rPr>
        <w:t xml:space="preserve"> Bryan et al. (2021)</w:t>
      </w:r>
      <w:r w:rsidR="009F61F7">
        <w:rPr>
          <w:rFonts w:ascii="Times New Roman" w:hAnsi="Times New Roman" w:cs="Times New Roman"/>
          <w:sz w:val="24"/>
          <w:szCs w:val="24"/>
        </w:rPr>
        <w:t xml:space="preserve">, this reduces the probability of identifying patients likely to engage in suicidal behaviors immediately on within 30-days. </w:t>
      </w:r>
      <w:r w:rsidR="009F61F7">
        <w:rPr>
          <w:rFonts w:ascii="Times New Roman" w:hAnsi="Times New Roman" w:cs="Times New Roman"/>
          <w:sz w:val="24"/>
          <w:szCs w:val="24"/>
        </w:rPr>
        <w:t>Consequently, this jeopardizes patient safety and leads to low quality and</w:t>
      </w:r>
      <w:r w:rsidR="00182EA7">
        <w:rPr>
          <w:rFonts w:ascii="Times New Roman" w:hAnsi="Times New Roman" w:cs="Times New Roman"/>
          <w:sz w:val="24"/>
          <w:szCs w:val="24"/>
        </w:rPr>
        <w:t xml:space="preserve"> unresponsive </w:t>
      </w:r>
      <w:r w:rsidR="009F61F7">
        <w:rPr>
          <w:rFonts w:ascii="Times New Roman" w:hAnsi="Times New Roman" w:cs="Times New Roman"/>
          <w:sz w:val="24"/>
          <w:szCs w:val="24"/>
        </w:rPr>
        <w:t>care to at-risk patients</w:t>
      </w:r>
      <w:r w:rsidR="001D73D8">
        <w:rPr>
          <w:rFonts w:ascii="Times New Roman" w:hAnsi="Times New Roman" w:cs="Times New Roman"/>
          <w:sz w:val="24"/>
          <w:szCs w:val="24"/>
        </w:rPr>
        <w:t xml:space="preserve">. In addition, the failure to identify at-risk patients </w:t>
      </w:r>
      <w:r w:rsidR="00671B11">
        <w:rPr>
          <w:rFonts w:ascii="Times New Roman" w:hAnsi="Times New Roman" w:cs="Times New Roman"/>
          <w:sz w:val="24"/>
          <w:szCs w:val="24"/>
        </w:rPr>
        <w:t>leads to delayed implementation of suicide prevention and management plans (</w:t>
      </w:r>
      <w:proofErr w:type="spellStart"/>
      <w:r w:rsidR="002B707E">
        <w:rPr>
          <w:rFonts w:ascii="Times New Roman" w:hAnsi="Times New Roman" w:cs="Times New Roman"/>
          <w:sz w:val="24"/>
          <w:szCs w:val="24"/>
        </w:rPr>
        <w:t>Chammas</w:t>
      </w:r>
      <w:proofErr w:type="spellEnd"/>
      <w:r w:rsidR="002B707E">
        <w:rPr>
          <w:rFonts w:ascii="Times New Roman" w:hAnsi="Times New Roman" w:cs="Times New Roman"/>
          <w:sz w:val="24"/>
          <w:szCs w:val="24"/>
        </w:rPr>
        <w:t xml:space="preserve"> et al., 2022</w:t>
      </w:r>
      <w:r w:rsidR="00671B11">
        <w:rPr>
          <w:rFonts w:ascii="Times New Roman" w:hAnsi="Times New Roman" w:cs="Times New Roman"/>
          <w:sz w:val="24"/>
          <w:szCs w:val="24"/>
        </w:rPr>
        <w:t xml:space="preserve">). </w:t>
      </w:r>
      <w:r w:rsidR="0073351B">
        <w:rPr>
          <w:rFonts w:ascii="Times New Roman" w:hAnsi="Times New Roman" w:cs="Times New Roman"/>
          <w:sz w:val="24"/>
          <w:szCs w:val="24"/>
        </w:rPr>
        <w:t>The delayed intervention could result in a high rate of accomplished suicides</w:t>
      </w:r>
      <w:r w:rsidR="00F54B05">
        <w:rPr>
          <w:rFonts w:ascii="Times New Roman" w:hAnsi="Times New Roman" w:cs="Times New Roman"/>
          <w:sz w:val="24"/>
          <w:szCs w:val="24"/>
        </w:rPr>
        <w:t>, which would reflect negatively on the organization. Therefore, appropriate measures targeting improvements in adherence to the protocols would benefit the patient population served and the practice setting, too.</w:t>
      </w:r>
    </w:p>
    <w:p w:rsidR="00F54B05" w:rsidRDefault="00F54B05" w:rsidP="00F54B05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References </w:t>
      </w:r>
    </w:p>
    <w:p w:rsidR="008F06B5" w:rsidRDefault="008F06B5" w:rsidP="008F06B5">
      <w:pPr>
        <w:spacing w:line="48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762716">
        <w:rPr>
          <w:rFonts w:ascii="Times New Roman" w:eastAsia="Times New Roman" w:hAnsi="Times New Roman" w:cs="Times New Roman"/>
          <w:sz w:val="24"/>
          <w:szCs w:val="24"/>
        </w:rPr>
        <w:t xml:space="preserve">Ahmed, N., Barlow, S., Reynolds, L., </w:t>
      </w:r>
      <w:proofErr w:type="spellStart"/>
      <w:r w:rsidRPr="00762716">
        <w:rPr>
          <w:rFonts w:ascii="Times New Roman" w:eastAsia="Times New Roman" w:hAnsi="Times New Roman" w:cs="Times New Roman"/>
          <w:sz w:val="24"/>
          <w:szCs w:val="24"/>
        </w:rPr>
        <w:t>Drey</w:t>
      </w:r>
      <w:proofErr w:type="spellEnd"/>
      <w:r w:rsidRPr="00762716">
        <w:rPr>
          <w:rFonts w:ascii="Times New Roman" w:eastAsia="Times New Roman" w:hAnsi="Times New Roman" w:cs="Times New Roman"/>
          <w:sz w:val="24"/>
          <w:szCs w:val="24"/>
        </w:rPr>
        <w:t xml:space="preserve">, N., Begum, F., </w:t>
      </w:r>
      <w:proofErr w:type="spellStart"/>
      <w:r w:rsidRPr="00762716">
        <w:rPr>
          <w:rFonts w:ascii="Times New Roman" w:eastAsia="Times New Roman" w:hAnsi="Times New Roman" w:cs="Times New Roman"/>
          <w:sz w:val="24"/>
          <w:szCs w:val="24"/>
        </w:rPr>
        <w:t>Tuudah</w:t>
      </w:r>
      <w:proofErr w:type="spellEnd"/>
      <w:r w:rsidRPr="00762716">
        <w:rPr>
          <w:rFonts w:ascii="Times New Roman" w:eastAsia="Times New Roman" w:hAnsi="Times New Roman" w:cs="Times New Roman"/>
          <w:sz w:val="24"/>
          <w:szCs w:val="24"/>
        </w:rPr>
        <w:t xml:space="preserve">, E., &amp; Simpson, A. (2021). Mental health professionals' perceived barriers and enablers to shared decision-making in risk assessment and risk management: a qualitative systematic review. </w:t>
      </w:r>
      <w:r w:rsidRPr="0076271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BMC 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P</w:t>
      </w:r>
      <w:r w:rsidRPr="00762716">
        <w:rPr>
          <w:rFonts w:ascii="Times New Roman" w:eastAsia="Times New Roman" w:hAnsi="Times New Roman" w:cs="Times New Roman"/>
          <w:i/>
          <w:iCs/>
          <w:sz w:val="24"/>
          <w:szCs w:val="24"/>
        </w:rPr>
        <w:t>sychiatry</w:t>
      </w:r>
      <w:r w:rsidRPr="0076271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762716">
        <w:rPr>
          <w:rFonts w:ascii="Times New Roman" w:eastAsia="Times New Roman" w:hAnsi="Times New Roman" w:cs="Times New Roman"/>
          <w:i/>
          <w:iCs/>
          <w:sz w:val="24"/>
          <w:szCs w:val="24"/>
        </w:rPr>
        <w:t>21</w:t>
      </w:r>
      <w:r w:rsidRPr="00762716">
        <w:rPr>
          <w:rFonts w:ascii="Times New Roman" w:eastAsia="Times New Roman" w:hAnsi="Times New Roman" w:cs="Times New Roman"/>
          <w:sz w:val="24"/>
          <w:szCs w:val="24"/>
        </w:rPr>
        <w:t xml:space="preserve">(1), 594. </w:t>
      </w:r>
      <w:hyperlink r:id="rId4" w:history="1">
        <w:r w:rsidRPr="00A43E69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https://doi.org/10.1186/s12888-021-03304-0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F06B5" w:rsidRDefault="008F06B5" w:rsidP="008F06B5">
      <w:pPr>
        <w:spacing w:line="48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2B707E">
        <w:rPr>
          <w:rFonts w:ascii="Times New Roman" w:eastAsia="Times New Roman" w:hAnsi="Times New Roman" w:cs="Times New Roman"/>
          <w:sz w:val="24"/>
          <w:szCs w:val="24"/>
        </w:rPr>
        <w:t xml:space="preserve">Bryan, C. J., Allen, M. H., Thomsen, C. J., May, A. M., Baker, J. C., Bryan, A. O., Harris, J. A., Cunningham, C. A., Taylor, K. B., Wine, M. D., Young, J., Williams, S., White, K., Smith, L., Lawson, W. C., Hope, T., Russell, W., </w:t>
      </w:r>
      <w:proofErr w:type="spellStart"/>
      <w:r w:rsidRPr="002B707E">
        <w:rPr>
          <w:rFonts w:ascii="Times New Roman" w:eastAsia="Times New Roman" w:hAnsi="Times New Roman" w:cs="Times New Roman"/>
          <w:sz w:val="24"/>
          <w:szCs w:val="24"/>
        </w:rPr>
        <w:t>Hinkson</w:t>
      </w:r>
      <w:proofErr w:type="spellEnd"/>
      <w:r w:rsidRPr="002B707E">
        <w:rPr>
          <w:rFonts w:ascii="Times New Roman" w:eastAsia="Times New Roman" w:hAnsi="Times New Roman" w:cs="Times New Roman"/>
          <w:sz w:val="24"/>
          <w:szCs w:val="24"/>
        </w:rPr>
        <w:t xml:space="preserve">, K. D., Cheney, T., &amp; Arne, K. (2021). Improving Suicide Risk Screening to Identify the Highest Risk Patients: Results </w:t>
      </w:r>
      <w:proofErr w:type="gramStart"/>
      <w:r w:rsidRPr="002B707E">
        <w:rPr>
          <w:rFonts w:ascii="Times New Roman" w:eastAsia="Times New Roman" w:hAnsi="Times New Roman" w:cs="Times New Roman"/>
          <w:sz w:val="24"/>
          <w:szCs w:val="24"/>
        </w:rPr>
        <w:t>From</w:t>
      </w:r>
      <w:proofErr w:type="gramEnd"/>
      <w:r w:rsidRPr="002B707E">
        <w:rPr>
          <w:rFonts w:ascii="Times New Roman" w:eastAsia="Times New Roman" w:hAnsi="Times New Roman" w:cs="Times New Roman"/>
          <w:sz w:val="24"/>
          <w:szCs w:val="24"/>
        </w:rPr>
        <w:t xml:space="preserve"> the </w:t>
      </w:r>
      <w:proofErr w:type="spellStart"/>
      <w:r w:rsidRPr="002B707E">
        <w:rPr>
          <w:rFonts w:ascii="Times New Roman" w:eastAsia="Times New Roman" w:hAnsi="Times New Roman" w:cs="Times New Roman"/>
          <w:sz w:val="24"/>
          <w:szCs w:val="24"/>
        </w:rPr>
        <w:t>PRImary</w:t>
      </w:r>
      <w:proofErr w:type="spellEnd"/>
      <w:r w:rsidRPr="002B707E">
        <w:rPr>
          <w:rFonts w:ascii="Times New Roman" w:eastAsia="Times New Roman" w:hAnsi="Times New Roman" w:cs="Times New Roman"/>
          <w:sz w:val="24"/>
          <w:szCs w:val="24"/>
        </w:rPr>
        <w:t xml:space="preserve"> Care Screening Methods (PRISM) Study. </w:t>
      </w:r>
      <w:r w:rsidRPr="002B707E">
        <w:rPr>
          <w:rFonts w:ascii="Times New Roman" w:eastAsia="Times New Roman" w:hAnsi="Times New Roman" w:cs="Times New Roman"/>
          <w:i/>
          <w:iCs/>
          <w:sz w:val="24"/>
          <w:szCs w:val="24"/>
        </w:rPr>
        <w:t>Annals of family medicine</w:t>
      </w:r>
      <w:r w:rsidRPr="002B707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B707E">
        <w:rPr>
          <w:rFonts w:ascii="Times New Roman" w:eastAsia="Times New Roman" w:hAnsi="Times New Roman" w:cs="Times New Roman"/>
          <w:i/>
          <w:iCs/>
          <w:sz w:val="24"/>
          <w:szCs w:val="24"/>
        </w:rPr>
        <w:t>19</w:t>
      </w:r>
      <w:r w:rsidRPr="002B707E">
        <w:rPr>
          <w:rFonts w:ascii="Times New Roman" w:eastAsia="Times New Roman" w:hAnsi="Times New Roman" w:cs="Times New Roman"/>
          <w:sz w:val="24"/>
          <w:szCs w:val="24"/>
        </w:rPr>
        <w:t xml:space="preserve">(6), 492–498. </w:t>
      </w:r>
      <w:hyperlink r:id="rId5" w:history="1">
        <w:r w:rsidRPr="00A43E69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https://doi.org/10.1370/afm.2729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F06B5" w:rsidRPr="0095292E" w:rsidRDefault="008F06B5" w:rsidP="008F06B5">
      <w:pPr>
        <w:spacing w:line="48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B707E">
        <w:rPr>
          <w:rFonts w:ascii="Times New Roman" w:eastAsia="Times New Roman" w:hAnsi="Times New Roman" w:cs="Times New Roman"/>
          <w:sz w:val="24"/>
          <w:szCs w:val="24"/>
        </w:rPr>
        <w:t>Chammas</w:t>
      </w:r>
      <w:proofErr w:type="spellEnd"/>
      <w:r w:rsidRPr="002B707E">
        <w:rPr>
          <w:rFonts w:ascii="Times New Roman" w:eastAsia="Times New Roman" w:hAnsi="Times New Roman" w:cs="Times New Roman"/>
          <w:sz w:val="24"/>
          <w:szCs w:val="24"/>
        </w:rPr>
        <w:t xml:space="preserve">, F., </w:t>
      </w:r>
      <w:proofErr w:type="spellStart"/>
      <w:r w:rsidRPr="002B707E">
        <w:rPr>
          <w:rFonts w:ascii="Times New Roman" w:eastAsia="Times New Roman" w:hAnsi="Times New Roman" w:cs="Times New Roman"/>
          <w:sz w:val="24"/>
          <w:szCs w:val="24"/>
        </w:rPr>
        <w:t>Januel</w:t>
      </w:r>
      <w:proofErr w:type="spellEnd"/>
      <w:r w:rsidRPr="002B707E">
        <w:rPr>
          <w:rFonts w:ascii="Times New Roman" w:eastAsia="Times New Roman" w:hAnsi="Times New Roman" w:cs="Times New Roman"/>
          <w:sz w:val="24"/>
          <w:szCs w:val="24"/>
        </w:rPr>
        <w:t xml:space="preserve">, D., &amp; </w:t>
      </w:r>
      <w:proofErr w:type="spellStart"/>
      <w:r w:rsidRPr="002B707E">
        <w:rPr>
          <w:rFonts w:ascii="Times New Roman" w:eastAsia="Times New Roman" w:hAnsi="Times New Roman" w:cs="Times New Roman"/>
          <w:sz w:val="24"/>
          <w:szCs w:val="24"/>
        </w:rPr>
        <w:t>Bouaziz</w:t>
      </w:r>
      <w:proofErr w:type="spellEnd"/>
      <w:r w:rsidRPr="002B707E">
        <w:rPr>
          <w:rFonts w:ascii="Times New Roman" w:eastAsia="Times New Roman" w:hAnsi="Times New Roman" w:cs="Times New Roman"/>
          <w:sz w:val="24"/>
          <w:szCs w:val="24"/>
        </w:rPr>
        <w:t xml:space="preserve">, N. (2022). Inpatient suicide in psychiatric settings: Evaluation of current prevention measures. </w:t>
      </w:r>
      <w:r w:rsidRPr="002B707E">
        <w:rPr>
          <w:rFonts w:ascii="Times New Roman" w:eastAsia="Times New Roman" w:hAnsi="Times New Roman" w:cs="Times New Roman"/>
          <w:i/>
          <w:iCs/>
          <w:sz w:val="24"/>
          <w:szCs w:val="24"/>
        </w:rPr>
        <w:t>Frontiers in psychiatry</w:t>
      </w:r>
      <w:r w:rsidRPr="002B707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B707E">
        <w:rPr>
          <w:rFonts w:ascii="Times New Roman" w:eastAsia="Times New Roman" w:hAnsi="Times New Roman" w:cs="Times New Roman"/>
          <w:i/>
          <w:iCs/>
          <w:sz w:val="24"/>
          <w:szCs w:val="24"/>
        </w:rPr>
        <w:t>13</w:t>
      </w:r>
      <w:r w:rsidRPr="002B707E">
        <w:rPr>
          <w:rFonts w:ascii="Times New Roman" w:eastAsia="Times New Roman" w:hAnsi="Times New Roman" w:cs="Times New Roman"/>
          <w:sz w:val="24"/>
          <w:szCs w:val="24"/>
        </w:rPr>
        <w:t xml:space="preserve">, 997974. </w:t>
      </w:r>
      <w:hyperlink r:id="rId6" w:history="1">
        <w:r w:rsidRPr="00A43E69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https://doi.org/10.3389/fpsyt.2022.997974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F06B5" w:rsidRDefault="008F06B5" w:rsidP="008F06B5">
      <w:pPr>
        <w:spacing w:line="48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95292E">
        <w:rPr>
          <w:rFonts w:ascii="Times New Roman" w:eastAsia="Times New Roman" w:hAnsi="Times New Roman" w:cs="Times New Roman"/>
          <w:sz w:val="24"/>
          <w:szCs w:val="24"/>
        </w:rPr>
        <w:t xml:space="preserve">Hughes, J. L., </w:t>
      </w:r>
      <w:proofErr w:type="spellStart"/>
      <w:r w:rsidRPr="0095292E">
        <w:rPr>
          <w:rFonts w:ascii="Times New Roman" w:eastAsia="Times New Roman" w:hAnsi="Times New Roman" w:cs="Times New Roman"/>
          <w:sz w:val="24"/>
          <w:szCs w:val="24"/>
        </w:rPr>
        <w:t>Trombello</w:t>
      </w:r>
      <w:proofErr w:type="spellEnd"/>
      <w:r w:rsidRPr="0095292E">
        <w:rPr>
          <w:rFonts w:ascii="Times New Roman" w:eastAsia="Times New Roman" w:hAnsi="Times New Roman" w:cs="Times New Roman"/>
          <w:sz w:val="24"/>
          <w:szCs w:val="24"/>
        </w:rPr>
        <w:t xml:space="preserve">, J. M., Kennard, B. D., Slater, H., </w:t>
      </w:r>
      <w:proofErr w:type="spellStart"/>
      <w:r w:rsidRPr="0095292E">
        <w:rPr>
          <w:rFonts w:ascii="Times New Roman" w:eastAsia="Times New Roman" w:hAnsi="Times New Roman" w:cs="Times New Roman"/>
          <w:sz w:val="24"/>
          <w:szCs w:val="24"/>
        </w:rPr>
        <w:t>Rezaeizadeh</w:t>
      </w:r>
      <w:proofErr w:type="spellEnd"/>
      <w:r w:rsidRPr="0095292E">
        <w:rPr>
          <w:rFonts w:ascii="Times New Roman" w:eastAsia="Times New Roman" w:hAnsi="Times New Roman" w:cs="Times New Roman"/>
          <w:sz w:val="24"/>
          <w:szCs w:val="24"/>
        </w:rPr>
        <w:t xml:space="preserve">, A., </w:t>
      </w:r>
      <w:proofErr w:type="spellStart"/>
      <w:r w:rsidRPr="0095292E">
        <w:rPr>
          <w:rFonts w:ascii="Times New Roman" w:eastAsia="Times New Roman" w:hAnsi="Times New Roman" w:cs="Times New Roman"/>
          <w:sz w:val="24"/>
          <w:szCs w:val="24"/>
        </w:rPr>
        <w:t>Claassen</w:t>
      </w:r>
      <w:proofErr w:type="spellEnd"/>
      <w:r w:rsidRPr="0095292E">
        <w:rPr>
          <w:rFonts w:ascii="Times New Roman" w:eastAsia="Times New Roman" w:hAnsi="Times New Roman" w:cs="Times New Roman"/>
          <w:sz w:val="24"/>
          <w:szCs w:val="24"/>
        </w:rPr>
        <w:t xml:space="preserve">, C., Wakefield, S. M., &amp; Trivedi, M. H. (2023). Suicide risk assessment and suicide risk management protocol for the Texas Youth Depression and Suicide Research Network. </w:t>
      </w:r>
      <w:r w:rsidRPr="0095292E">
        <w:rPr>
          <w:rFonts w:ascii="Times New Roman" w:eastAsia="Times New Roman" w:hAnsi="Times New Roman" w:cs="Times New Roman"/>
          <w:i/>
          <w:iCs/>
          <w:sz w:val="24"/>
          <w:szCs w:val="24"/>
        </w:rPr>
        <w:t>Contemporary clinical trials communications</w:t>
      </w:r>
      <w:r w:rsidRPr="0095292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95292E">
        <w:rPr>
          <w:rFonts w:ascii="Times New Roman" w:eastAsia="Times New Roman" w:hAnsi="Times New Roman" w:cs="Times New Roman"/>
          <w:i/>
          <w:iCs/>
          <w:sz w:val="24"/>
          <w:szCs w:val="24"/>
        </w:rPr>
        <w:t>33</w:t>
      </w:r>
      <w:r w:rsidRPr="0095292E">
        <w:rPr>
          <w:rFonts w:ascii="Times New Roman" w:eastAsia="Times New Roman" w:hAnsi="Times New Roman" w:cs="Times New Roman"/>
          <w:sz w:val="24"/>
          <w:szCs w:val="24"/>
        </w:rPr>
        <w:t xml:space="preserve">, 101151. </w:t>
      </w:r>
      <w:hyperlink r:id="rId7" w:history="1">
        <w:r w:rsidRPr="00A43E69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https://doi.org/10.1016/j.conctc.2023.101151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F06B5" w:rsidRDefault="008F06B5" w:rsidP="008F06B5">
      <w:pPr>
        <w:spacing w:line="48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762716">
        <w:rPr>
          <w:rFonts w:ascii="Times New Roman" w:eastAsia="Times New Roman" w:hAnsi="Times New Roman" w:cs="Times New Roman"/>
          <w:sz w:val="24"/>
          <w:szCs w:val="24"/>
        </w:rPr>
        <w:t xml:space="preserve">Rudd, M. D., &amp; Bryan, C. J. (2022). Finding Effective and Efficient Ways to Integrate Research Advances Into the Clinical Suicide Risk Assessment Interview. </w:t>
      </w:r>
      <w:r w:rsidRPr="0076271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Frontiers in 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P</w:t>
      </w:r>
      <w:r w:rsidRPr="00762716">
        <w:rPr>
          <w:rFonts w:ascii="Times New Roman" w:eastAsia="Times New Roman" w:hAnsi="Times New Roman" w:cs="Times New Roman"/>
          <w:i/>
          <w:iCs/>
          <w:sz w:val="24"/>
          <w:szCs w:val="24"/>
        </w:rPr>
        <w:t>sychiatry</w:t>
      </w:r>
      <w:r w:rsidRPr="0076271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762716">
        <w:rPr>
          <w:rFonts w:ascii="Times New Roman" w:eastAsia="Times New Roman" w:hAnsi="Times New Roman" w:cs="Times New Roman"/>
          <w:i/>
          <w:iCs/>
          <w:sz w:val="24"/>
          <w:szCs w:val="24"/>
        </w:rPr>
        <w:t>13</w:t>
      </w:r>
      <w:r w:rsidRPr="00762716">
        <w:rPr>
          <w:rFonts w:ascii="Times New Roman" w:eastAsia="Times New Roman" w:hAnsi="Times New Roman" w:cs="Times New Roman"/>
          <w:sz w:val="24"/>
          <w:szCs w:val="24"/>
        </w:rPr>
        <w:t xml:space="preserve">, 846244. </w:t>
      </w:r>
      <w:hyperlink r:id="rId8" w:history="1">
        <w:r w:rsidRPr="00A43E69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https://doi.org/10.3389/fpsyt.2022.846244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F06B5" w:rsidRDefault="008F06B5" w:rsidP="008F06B5">
      <w:pPr>
        <w:spacing w:line="48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95292E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Ryan, E. P., &amp; </w:t>
      </w:r>
      <w:proofErr w:type="spellStart"/>
      <w:r w:rsidRPr="0095292E">
        <w:rPr>
          <w:rFonts w:ascii="Times New Roman" w:eastAsia="Times New Roman" w:hAnsi="Times New Roman" w:cs="Times New Roman"/>
          <w:sz w:val="24"/>
          <w:szCs w:val="24"/>
        </w:rPr>
        <w:t>Oquendo</w:t>
      </w:r>
      <w:proofErr w:type="spellEnd"/>
      <w:r w:rsidRPr="0095292E">
        <w:rPr>
          <w:rFonts w:ascii="Times New Roman" w:eastAsia="Times New Roman" w:hAnsi="Times New Roman" w:cs="Times New Roman"/>
          <w:sz w:val="24"/>
          <w:szCs w:val="24"/>
        </w:rPr>
        <w:t xml:space="preserve">, M. A. (2020). Suicide Risk Assessment and Prevention: Challenges and Opportunities. </w:t>
      </w:r>
      <w:r w:rsidRPr="0095292E">
        <w:rPr>
          <w:rFonts w:ascii="Times New Roman" w:eastAsia="Times New Roman" w:hAnsi="Times New Roman" w:cs="Times New Roman"/>
          <w:i/>
          <w:iCs/>
          <w:sz w:val="24"/>
          <w:szCs w:val="24"/>
        </w:rPr>
        <w:t>Focus (American Psychiatric Publishing)</w:t>
      </w:r>
      <w:r w:rsidRPr="0095292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95292E">
        <w:rPr>
          <w:rFonts w:ascii="Times New Roman" w:eastAsia="Times New Roman" w:hAnsi="Times New Roman" w:cs="Times New Roman"/>
          <w:i/>
          <w:iCs/>
          <w:sz w:val="24"/>
          <w:szCs w:val="24"/>
        </w:rPr>
        <w:t>18</w:t>
      </w:r>
      <w:r w:rsidRPr="0095292E">
        <w:rPr>
          <w:rFonts w:ascii="Times New Roman" w:eastAsia="Times New Roman" w:hAnsi="Times New Roman" w:cs="Times New Roman"/>
          <w:sz w:val="24"/>
          <w:szCs w:val="24"/>
        </w:rPr>
        <w:t xml:space="preserve">(2), 88–99. </w:t>
      </w:r>
      <w:hyperlink r:id="rId9" w:history="1">
        <w:r w:rsidRPr="00A43E69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https://doi.org/10.1176/appi.focus.20200011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F06B5" w:rsidRDefault="008F06B5" w:rsidP="008F06B5">
      <w:pPr>
        <w:spacing w:line="48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62716">
        <w:rPr>
          <w:rFonts w:ascii="Times New Roman" w:eastAsia="Times New Roman" w:hAnsi="Times New Roman" w:cs="Times New Roman"/>
          <w:sz w:val="24"/>
          <w:szCs w:val="24"/>
        </w:rPr>
        <w:t>Schatten</w:t>
      </w:r>
      <w:proofErr w:type="spellEnd"/>
      <w:r w:rsidRPr="00762716">
        <w:rPr>
          <w:rFonts w:ascii="Times New Roman" w:eastAsia="Times New Roman" w:hAnsi="Times New Roman" w:cs="Times New Roman"/>
          <w:sz w:val="24"/>
          <w:szCs w:val="24"/>
        </w:rPr>
        <w:t xml:space="preserve">, H. T., </w:t>
      </w:r>
      <w:proofErr w:type="spellStart"/>
      <w:r w:rsidRPr="00762716">
        <w:rPr>
          <w:rFonts w:ascii="Times New Roman" w:eastAsia="Times New Roman" w:hAnsi="Times New Roman" w:cs="Times New Roman"/>
          <w:sz w:val="24"/>
          <w:szCs w:val="24"/>
        </w:rPr>
        <w:t>Gaudiano</w:t>
      </w:r>
      <w:proofErr w:type="spellEnd"/>
      <w:r w:rsidRPr="00762716">
        <w:rPr>
          <w:rFonts w:ascii="Times New Roman" w:eastAsia="Times New Roman" w:hAnsi="Times New Roman" w:cs="Times New Roman"/>
          <w:sz w:val="24"/>
          <w:szCs w:val="24"/>
        </w:rPr>
        <w:t xml:space="preserve">, B. A., </w:t>
      </w:r>
      <w:proofErr w:type="spellStart"/>
      <w:r w:rsidRPr="00762716">
        <w:rPr>
          <w:rFonts w:ascii="Times New Roman" w:eastAsia="Times New Roman" w:hAnsi="Times New Roman" w:cs="Times New Roman"/>
          <w:sz w:val="24"/>
          <w:szCs w:val="24"/>
        </w:rPr>
        <w:t>Primack</w:t>
      </w:r>
      <w:proofErr w:type="spellEnd"/>
      <w:r w:rsidRPr="00762716">
        <w:rPr>
          <w:rFonts w:ascii="Times New Roman" w:eastAsia="Times New Roman" w:hAnsi="Times New Roman" w:cs="Times New Roman"/>
          <w:sz w:val="24"/>
          <w:szCs w:val="24"/>
        </w:rPr>
        <w:t>, J. M., Arias, S. A., Armey, M. F., Miller, I. W., Epstein-</w:t>
      </w:r>
      <w:proofErr w:type="spellStart"/>
      <w:r w:rsidRPr="00762716">
        <w:rPr>
          <w:rFonts w:ascii="Times New Roman" w:eastAsia="Times New Roman" w:hAnsi="Times New Roman" w:cs="Times New Roman"/>
          <w:sz w:val="24"/>
          <w:szCs w:val="24"/>
        </w:rPr>
        <w:t>Lubow</w:t>
      </w:r>
      <w:proofErr w:type="spellEnd"/>
      <w:r w:rsidRPr="00762716">
        <w:rPr>
          <w:rFonts w:ascii="Times New Roman" w:eastAsia="Times New Roman" w:hAnsi="Times New Roman" w:cs="Times New Roman"/>
          <w:sz w:val="24"/>
          <w:szCs w:val="24"/>
        </w:rPr>
        <w:t xml:space="preserve">, G., &amp; Weinstock, L. M. (2020). Monitoring, assessing, and responding to suicide risk in clinical research. 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Journal of A</w:t>
      </w:r>
      <w:r w:rsidRPr="0076271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bnormal 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P</w:t>
      </w:r>
      <w:r w:rsidRPr="00762716">
        <w:rPr>
          <w:rFonts w:ascii="Times New Roman" w:eastAsia="Times New Roman" w:hAnsi="Times New Roman" w:cs="Times New Roman"/>
          <w:i/>
          <w:iCs/>
          <w:sz w:val="24"/>
          <w:szCs w:val="24"/>
        </w:rPr>
        <w:t>sychology</w:t>
      </w:r>
      <w:r w:rsidRPr="0076271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762716">
        <w:rPr>
          <w:rFonts w:ascii="Times New Roman" w:eastAsia="Times New Roman" w:hAnsi="Times New Roman" w:cs="Times New Roman"/>
          <w:i/>
          <w:iCs/>
          <w:sz w:val="24"/>
          <w:szCs w:val="24"/>
        </w:rPr>
        <w:t>129</w:t>
      </w:r>
      <w:r w:rsidRPr="00762716">
        <w:rPr>
          <w:rFonts w:ascii="Times New Roman" w:eastAsia="Times New Roman" w:hAnsi="Times New Roman" w:cs="Times New Roman"/>
          <w:sz w:val="24"/>
          <w:szCs w:val="24"/>
        </w:rPr>
        <w:t xml:space="preserve">(1), 64–69. </w:t>
      </w:r>
      <w:hyperlink r:id="rId10" w:history="1">
        <w:r w:rsidRPr="00A43E69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https://doi.org/10.1037/abn0000489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F06B5" w:rsidRDefault="008F06B5" w:rsidP="008F06B5">
      <w:pPr>
        <w:spacing w:line="48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2B707E">
        <w:rPr>
          <w:rFonts w:ascii="Times New Roman" w:eastAsia="Times New Roman" w:hAnsi="Times New Roman" w:cs="Times New Roman"/>
          <w:sz w:val="24"/>
          <w:szCs w:val="24"/>
        </w:rPr>
        <w:t xml:space="preserve">Stevens, K., </w:t>
      </w:r>
      <w:proofErr w:type="spellStart"/>
      <w:r w:rsidRPr="002B707E">
        <w:rPr>
          <w:rFonts w:ascii="Times New Roman" w:eastAsia="Times New Roman" w:hAnsi="Times New Roman" w:cs="Times New Roman"/>
          <w:sz w:val="24"/>
          <w:szCs w:val="24"/>
        </w:rPr>
        <w:t>Thambinathan</w:t>
      </w:r>
      <w:proofErr w:type="spellEnd"/>
      <w:r w:rsidRPr="002B707E">
        <w:rPr>
          <w:rFonts w:ascii="Times New Roman" w:eastAsia="Times New Roman" w:hAnsi="Times New Roman" w:cs="Times New Roman"/>
          <w:sz w:val="24"/>
          <w:szCs w:val="24"/>
        </w:rPr>
        <w:t xml:space="preserve">, V., </w:t>
      </w:r>
      <w:proofErr w:type="spellStart"/>
      <w:r w:rsidRPr="002B707E">
        <w:rPr>
          <w:rFonts w:ascii="Times New Roman" w:eastAsia="Times New Roman" w:hAnsi="Times New Roman" w:cs="Times New Roman"/>
          <w:sz w:val="24"/>
          <w:szCs w:val="24"/>
        </w:rPr>
        <w:t>Hollenberg</w:t>
      </w:r>
      <w:proofErr w:type="spellEnd"/>
      <w:r w:rsidRPr="002B707E">
        <w:rPr>
          <w:rFonts w:ascii="Times New Roman" w:eastAsia="Times New Roman" w:hAnsi="Times New Roman" w:cs="Times New Roman"/>
          <w:sz w:val="24"/>
          <w:szCs w:val="24"/>
        </w:rPr>
        <w:t xml:space="preserve">, E., </w:t>
      </w:r>
      <w:proofErr w:type="spellStart"/>
      <w:r w:rsidRPr="002B707E">
        <w:rPr>
          <w:rFonts w:ascii="Times New Roman" w:eastAsia="Times New Roman" w:hAnsi="Times New Roman" w:cs="Times New Roman"/>
          <w:sz w:val="24"/>
          <w:szCs w:val="24"/>
        </w:rPr>
        <w:t>Inglis</w:t>
      </w:r>
      <w:proofErr w:type="spellEnd"/>
      <w:r w:rsidRPr="002B707E">
        <w:rPr>
          <w:rFonts w:ascii="Times New Roman" w:eastAsia="Times New Roman" w:hAnsi="Times New Roman" w:cs="Times New Roman"/>
          <w:sz w:val="24"/>
          <w:szCs w:val="24"/>
        </w:rPr>
        <w:t xml:space="preserve">, F., Johnson, A., Levinson, A., Salman, S., </w:t>
      </w:r>
      <w:proofErr w:type="spellStart"/>
      <w:r w:rsidRPr="002B707E">
        <w:rPr>
          <w:rFonts w:ascii="Times New Roman" w:eastAsia="Times New Roman" w:hAnsi="Times New Roman" w:cs="Times New Roman"/>
          <w:sz w:val="24"/>
          <w:szCs w:val="24"/>
        </w:rPr>
        <w:t>Cardinale</w:t>
      </w:r>
      <w:proofErr w:type="spellEnd"/>
      <w:r w:rsidRPr="002B707E">
        <w:rPr>
          <w:rFonts w:ascii="Times New Roman" w:eastAsia="Times New Roman" w:hAnsi="Times New Roman" w:cs="Times New Roman"/>
          <w:sz w:val="24"/>
          <w:szCs w:val="24"/>
        </w:rPr>
        <w:t xml:space="preserve">, L., Lo, B., Shi, J., </w:t>
      </w:r>
      <w:proofErr w:type="spellStart"/>
      <w:r w:rsidRPr="002B707E">
        <w:rPr>
          <w:rFonts w:ascii="Times New Roman" w:eastAsia="Times New Roman" w:hAnsi="Times New Roman" w:cs="Times New Roman"/>
          <w:sz w:val="24"/>
          <w:szCs w:val="24"/>
        </w:rPr>
        <w:t>Wiljer</w:t>
      </w:r>
      <w:proofErr w:type="spellEnd"/>
      <w:r w:rsidRPr="002B707E">
        <w:rPr>
          <w:rFonts w:ascii="Times New Roman" w:eastAsia="Times New Roman" w:hAnsi="Times New Roman" w:cs="Times New Roman"/>
          <w:sz w:val="24"/>
          <w:szCs w:val="24"/>
        </w:rPr>
        <w:t xml:space="preserve">, D., </w:t>
      </w:r>
      <w:proofErr w:type="spellStart"/>
      <w:r w:rsidRPr="002B707E">
        <w:rPr>
          <w:rFonts w:ascii="Times New Roman" w:eastAsia="Times New Roman" w:hAnsi="Times New Roman" w:cs="Times New Roman"/>
          <w:sz w:val="24"/>
          <w:szCs w:val="24"/>
        </w:rPr>
        <w:t>Korczak</w:t>
      </w:r>
      <w:proofErr w:type="spellEnd"/>
      <w:r w:rsidRPr="002B707E">
        <w:rPr>
          <w:rFonts w:ascii="Times New Roman" w:eastAsia="Times New Roman" w:hAnsi="Times New Roman" w:cs="Times New Roman"/>
          <w:sz w:val="24"/>
          <w:szCs w:val="24"/>
        </w:rPr>
        <w:t xml:space="preserve">, D. J., &amp; Cleverley, K. (2021). Core components and strategies for suicide and risk management protocols in mental health research: a scoping review. </w:t>
      </w:r>
      <w:r w:rsidRPr="002B707E">
        <w:rPr>
          <w:rFonts w:ascii="Times New Roman" w:eastAsia="Times New Roman" w:hAnsi="Times New Roman" w:cs="Times New Roman"/>
          <w:i/>
          <w:iCs/>
          <w:sz w:val="24"/>
          <w:szCs w:val="24"/>
        </w:rPr>
        <w:t>BMC psychiatry</w:t>
      </w:r>
      <w:r w:rsidRPr="002B707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B707E">
        <w:rPr>
          <w:rFonts w:ascii="Times New Roman" w:eastAsia="Times New Roman" w:hAnsi="Times New Roman" w:cs="Times New Roman"/>
          <w:i/>
          <w:iCs/>
          <w:sz w:val="24"/>
          <w:szCs w:val="24"/>
        </w:rPr>
        <w:t>21</w:t>
      </w:r>
      <w:r w:rsidRPr="002B707E">
        <w:rPr>
          <w:rFonts w:ascii="Times New Roman" w:eastAsia="Times New Roman" w:hAnsi="Times New Roman" w:cs="Times New Roman"/>
          <w:sz w:val="24"/>
          <w:szCs w:val="24"/>
        </w:rPr>
        <w:t xml:space="preserve">(1), 13. </w:t>
      </w:r>
      <w:hyperlink r:id="rId11" w:history="1">
        <w:r w:rsidRPr="00A43E69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https://doi.org/10.1186/s12888-020-03005-0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sectPr w:rsidR="008F06B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B13"/>
    <w:rsid w:val="00146B13"/>
    <w:rsid w:val="00160CF4"/>
    <w:rsid w:val="00182EA7"/>
    <w:rsid w:val="001D73D8"/>
    <w:rsid w:val="002B707E"/>
    <w:rsid w:val="00302AC0"/>
    <w:rsid w:val="003107CC"/>
    <w:rsid w:val="004A0764"/>
    <w:rsid w:val="004E019B"/>
    <w:rsid w:val="004F7859"/>
    <w:rsid w:val="005850A9"/>
    <w:rsid w:val="00622A1E"/>
    <w:rsid w:val="00642B3E"/>
    <w:rsid w:val="00671B11"/>
    <w:rsid w:val="00701941"/>
    <w:rsid w:val="0073351B"/>
    <w:rsid w:val="00762716"/>
    <w:rsid w:val="008C4024"/>
    <w:rsid w:val="008F06B5"/>
    <w:rsid w:val="00916072"/>
    <w:rsid w:val="00936755"/>
    <w:rsid w:val="0095292E"/>
    <w:rsid w:val="009F61F7"/>
    <w:rsid w:val="00A609B5"/>
    <w:rsid w:val="00A67188"/>
    <w:rsid w:val="00AF68C0"/>
    <w:rsid w:val="00B75BF6"/>
    <w:rsid w:val="00C22F2D"/>
    <w:rsid w:val="00C44E86"/>
    <w:rsid w:val="00C73BD6"/>
    <w:rsid w:val="00C960FB"/>
    <w:rsid w:val="00DC4EA2"/>
    <w:rsid w:val="00DD142A"/>
    <w:rsid w:val="00E37068"/>
    <w:rsid w:val="00EA5F76"/>
    <w:rsid w:val="00F54B05"/>
    <w:rsid w:val="00F95D16"/>
    <w:rsid w:val="00FB6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CA15B1"/>
  <w15:chartTrackingRefBased/>
  <w15:docId w15:val="{EEC8CD09-FEBD-468E-A382-6C7388569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42B3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35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30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8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39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6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39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4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10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84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03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68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10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25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09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8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77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86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14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3389/fpsyt.2022.846244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doi.org/10.1016/j.conctc.2023.101151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i.org/10.3389/fpsyt.2022.997974" TargetMode="External"/><Relationship Id="rId11" Type="http://schemas.openxmlformats.org/officeDocument/2006/relationships/hyperlink" Target="https://doi.org/10.1186/s12888-020-03005-0" TargetMode="External"/><Relationship Id="rId5" Type="http://schemas.openxmlformats.org/officeDocument/2006/relationships/hyperlink" Target="https://doi.org/10.1370/afm.2729" TargetMode="External"/><Relationship Id="rId10" Type="http://schemas.openxmlformats.org/officeDocument/2006/relationships/hyperlink" Target="https://doi.org/10.1037/abn0000489" TargetMode="External"/><Relationship Id="rId4" Type="http://schemas.openxmlformats.org/officeDocument/2006/relationships/hyperlink" Target="https://doi.org/10.1186/s12888-021-03304-0" TargetMode="External"/><Relationship Id="rId9" Type="http://schemas.openxmlformats.org/officeDocument/2006/relationships/hyperlink" Target="https://doi.org/10.1176/appi.focus.20200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754</Words>
  <Characters>4299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4</cp:revision>
  <dcterms:created xsi:type="dcterms:W3CDTF">2023-07-25T22:10:00Z</dcterms:created>
  <dcterms:modified xsi:type="dcterms:W3CDTF">2023-07-25T23:31:00Z</dcterms:modified>
</cp:coreProperties>
</file>