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Pr="009B0226" w:rsidRDefault="00FD3440" w:rsidP="009C2806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</w:t>
      </w:r>
      <w:r w:rsidR="009B0226" w:rsidRPr="009B0226">
        <w:rPr>
          <w:rFonts w:ascii="Times New Roman" w:hAnsi="Times New Roman" w:cs="Times New Roman"/>
          <w:b/>
          <w:sz w:val="24"/>
          <w:szCs w:val="24"/>
        </w:rPr>
        <w:t xml:space="preserve"> to Kristin </w:t>
      </w:r>
      <w:proofErr w:type="spellStart"/>
      <w:r w:rsidR="009B0226" w:rsidRPr="009B0226">
        <w:rPr>
          <w:rFonts w:ascii="Times New Roman" w:hAnsi="Times New Roman" w:cs="Times New Roman"/>
          <w:b/>
          <w:sz w:val="24"/>
          <w:szCs w:val="24"/>
        </w:rPr>
        <w:t>Feeley</w:t>
      </w:r>
      <w:proofErr w:type="spellEnd"/>
    </w:p>
    <w:p w:rsidR="009B0226" w:rsidRDefault="009B0226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9B0226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k you for your informative insights about </w:t>
      </w:r>
      <w:r w:rsidR="00583087">
        <w:rPr>
          <w:rFonts w:ascii="Times New Roman" w:hAnsi="Times New Roman" w:cs="Times New Roman"/>
          <w:sz w:val="24"/>
          <w:szCs w:val="24"/>
        </w:rPr>
        <w:t xml:space="preserve">informatics, with a focus on EHRs. </w:t>
      </w:r>
      <w:r w:rsidR="00E51A73">
        <w:rPr>
          <w:rFonts w:ascii="Times New Roman" w:hAnsi="Times New Roman" w:cs="Times New Roman"/>
          <w:sz w:val="24"/>
          <w:szCs w:val="24"/>
        </w:rPr>
        <w:t>In my clin</w:t>
      </w:r>
      <w:r w:rsidR="00815558">
        <w:rPr>
          <w:rFonts w:ascii="Times New Roman" w:hAnsi="Times New Roman" w:cs="Times New Roman"/>
          <w:sz w:val="24"/>
          <w:szCs w:val="24"/>
        </w:rPr>
        <w:t>ical practice, I have also witnessed challenges in the fun</w:t>
      </w:r>
      <w:r w:rsidR="00015DDB">
        <w:rPr>
          <w:rFonts w:ascii="Times New Roman" w:hAnsi="Times New Roman" w:cs="Times New Roman"/>
          <w:sz w:val="24"/>
          <w:szCs w:val="24"/>
        </w:rPr>
        <w:t xml:space="preserve">ctionality and usability of the EHR that compromised clinical workflows and system efficiency. </w:t>
      </w:r>
      <w:r w:rsidR="00871BF1">
        <w:rPr>
          <w:rFonts w:ascii="Times New Roman" w:hAnsi="Times New Roman" w:cs="Times New Roman"/>
          <w:sz w:val="24"/>
          <w:szCs w:val="24"/>
        </w:rPr>
        <w:t>The breakdown b</w:t>
      </w:r>
      <w:r w:rsidR="00015DDB">
        <w:rPr>
          <w:rFonts w:ascii="Times New Roman" w:hAnsi="Times New Roman" w:cs="Times New Roman"/>
          <w:sz w:val="24"/>
          <w:szCs w:val="24"/>
        </w:rPr>
        <w:t>elow i</w:t>
      </w:r>
      <w:r w:rsidR="00871BF1">
        <w:rPr>
          <w:rFonts w:ascii="Times New Roman" w:hAnsi="Times New Roman" w:cs="Times New Roman"/>
          <w:sz w:val="24"/>
          <w:szCs w:val="24"/>
        </w:rPr>
        <w:t>llustrates m</w:t>
      </w:r>
      <w:r w:rsidR="00015DDB">
        <w:rPr>
          <w:rFonts w:ascii="Times New Roman" w:hAnsi="Times New Roman" w:cs="Times New Roman"/>
          <w:sz w:val="24"/>
          <w:szCs w:val="24"/>
        </w:rPr>
        <w:t xml:space="preserve">y </w:t>
      </w:r>
      <w:r w:rsidR="00871BF1">
        <w:rPr>
          <w:rFonts w:ascii="Times New Roman" w:hAnsi="Times New Roman" w:cs="Times New Roman"/>
          <w:sz w:val="24"/>
          <w:szCs w:val="24"/>
        </w:rPr>
        <w:t>SWOT analysis pertaining to your problem.</w:t>
      </w:r>
    </w:p>
    <w:p w:rsidR="00871BF1" w:rsidRDefault="00871BF1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A0614">
        <w:rPr>
          <w:rFonts w:ascii="Times New Roman" w:hAnsi="Times New Roman" w:cs="Times New Roman"/>
          <w:i/>
          <w:sz w:val="24"/>
          <w:szCs w:val="24"/>
        </w:rPr>
        <w:t>Strengths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BF1" w:rsidRDefault="003B75AD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Improved access to patient information: </w:t>
      </w:r>
      <w:r w:rsidR="003721BD">
        <w:rPr>
          <w:rFonts w:ascii="Times New Roman" w:hAnsi="Times New Roman" w:cs="Times New Roman"/>
          <w:sz w:val="24"/>
          <w:szCs w:val="24"/>
        </w:rPr>
        <w:t>Enhancing the functionality and usability of the HER would improve clinicians’ access to patient information at the point of care, which could improve clinical decision-making (</w:t>
      </w:r>
      <w:proofErr w:type="spellStart"/>
      <w:r w:rsidR="00D91F5B">
        <w:rPr>
          <w:rFonts w:ascii="Times New Roman" w:hAnsi="Times New Roman" w:cs="Times New Roman"/>
          <w:sz w:val="24"/>
          <w:szCs w:val="24"/>
        </w:rPr>
        <w:t>Uslu</w:t>
      </w:r>
      <w:proofErr w:type="spellEnd"/>
      <w:r w:rsidR="00D91F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91F5B">
        <w:rPr>
          <w:rFonts w:ascii="Times New Roman" w:hAnsi="Times New Roman" w:cs="Times New Roman"/>
          <w:sz w:val="24"/>
          <w:szCs w:val="24"/>
        </w:rPr>
        <w:t>Stausberg</w:t>
      </w:r>
      <w:proofErr w:type="spellEnd"/>
      <w:r w:rsidR="00D91F5B">
        <w:rPr>
          <w:rFonts w:ascii="Times New Roman" w:hAnsi="Times New Roman" w:cs="Times New Roman"/>
          <w:sz w:val="24"/>
          <w:szCs w:val="24"/>
        </w:rPr>
        <w:t>, 2021</w:t>
      </w:r>
      <w:r w:rsidR="003721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21BD" w:rsidRDefault="004B4364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workflow: Addressing the problems noted could significantly improve clinical workflow. As supported by</w:t>
      </w:r>
      <w:r w:rsidR="0040041C">
        <w:rPr>
          <w:rFonts w:ascii="Times New Roman" w:hAnsi="Times New Roman" w:cs="Times New Roman"/>
          <w:sz w:val="24"/>
          <w:szCs w:val="24"/>
        </w:rPr>
        <w:t xml:space="preserve"> Tsai et al. (2020)</w:t>
      </w:r>
      <w:r>
        <w:rPr>
          <w:rFonts w:ascii="Times New Roman" w:hAnsi="Times New Roman" w:cs="Times New Roman"/>
          <w:sz w:val="24"/>
          <w:szCs w:val="24"/>
        </w:rPr>
        <w:t>, this could relate to fast retrieval of information, reduced documentation time</w:t>
      </w:r>
      <w:r w:rsidR="00CD2E1E">
        <w:rPr>
          <w:rFonts w:ascii="Times New Roman" w:hAnsi="Times New Roman" w:cs="Times New Roman"/>
          <w:sz w:val="24"/>
          <w:szCs w:val="24"/>
        </w:rPr>
        <w:t xml:space="preserve">, and enhancing interactions with patients. </w:t>
      </w:r>
    </w:p>
    <w:p w:rsidR="00CD2E1E" w:rsidRDefault="00CD2E1E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A0614">
        <w:rPr>
          <w:rFonts w:ascii="Times New Roman" w:hAnsi="Times New Roman" w:cs="Times New Roman"/>
          <w:i/>
          <w:sz w:val="24"/>
          <w:szCs w:val="24"/>
        </w:rPr>
        <w:t>Weaknesses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E1E" w:rsidRDefault="00F320E5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Disruptions in workflows: Improving the functionality and usability of the system may require time. </w:t>
      </w:r>
      <w:r w:rsidR="00CC002B">
        <w:rPr>
          <w:rFonts w:ascii="Times New Roman" w:hAnsi="Times New Roman" w:cs="Times New Roman"/>
          <w:sz w:val="24"/>
          <w:szCs w:val="24"/>
        </w:rPr>
        <w:t>Consequently, this may disrupt the current workflows and contribute some transient productivity loss during the time (</w:t>
      </w:r>
      <w:proofErr w:type="spellStart"/>
      <w:r w:rsidR="00D83C7A">
        <w:rPr>
          <w:rFonts w:ascii="Times New Roman" w:hAnsi="Times New Roman" w:cs="Times New Roman"/>
          <w:sz w:val="24"/>
          <w:szCs w:val="24"/>
        </w:rPr>
        <w:t>M</w:t>
      </w:r>
      <w:r w:rsidR="0040041C">
        <w:rPr>
          <w:rFonts w:ascii="Times New Roman" w:hAnsi="Times New Roman" w:cs="Times New Roman"/>
          <w:sz w:val="24"/>
          <w:szCs w:val="24"/>
        </w:rPr>
        <w:t>enachemi</w:t>
      </w:r>
      <w:proofErr w:type="spellEnd"/>
      <w:r w:rsidR="0040041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0041C">
        <w:rPr>
          <w:rFonts w:ascii="Times New Roman" w:hAnsi="Times New Roman" w:cs="Times New Roman"/>
          <w:sz w:val="24"/>
          <w:szCs w:val="24"/>
        </w:rPr>
        <w:t>Collum</w:t>
      </w:r>
      <w:proofErr w:type="spellEnd"/>
      <w:r w:rsidR="0040041C">
        <w:rPr>
          <w:rFonts w:ascii="Times New Roman" w:hAnsi="Times New Roman" w:cs="Times New Roman"/>
          <w:sz w:val="24"/>
          <w:szCs w:val="24"/>
        </w:rPr>
        <w:t>, 2019</w:t>
      </w:r>
      <w:r w:rsidR="00CC00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11367" w:rsidRDefault="00111367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for training: The efficiency of the system depends </w:t>
      </w:r>
      <w:r w:rsidR="00D64C3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imparting clinicians with sufficient knowledge, which may consume s</w:t>
      </w:r>
      <w:r w:rsidR="00D64C30">
        <w:rPr>
          <w:rFonts w:ascii="Times New Roman" w:hAnsi="Times New Roman" w:cs="Times New Roman"/>
          <w:sz w:val="24"/>
          <w:szCs w:val="24"/>
        </w:rPr>
        <w:t>ignificant amount of time required for direct patient care (</w:t>
      </w:r>
      <w:proofErr w:type="spellStart"/>
      <w:r w:rsidR="00D83C7A">
        <w:rPr>
          <w:rFonts w:ascii="Times New Roman" w:hAnsi="Times New Roman" w:cs="Times New Roman"/>
          <w:sz w:val="24"/>
          <w:szCs w:val="24"/>
        </w:rPr>
        <w:t>Upadhay</w:t>
      </w:r>
      <w:proofErr w:type="spellEnd"/>
      <w:r w:rsidR="00D83C7A">
        <w:rPr>
          <w:rFonts w:ascii="Times New Roman" w:hAnsi="Times New Roman" w:cs="Times New Roman"/>
          <w:sz w:val="24"/>
          <w:szCs w:val="24"/>
        </w:rPr>
        <w:t xml:space="preserve"> &amp; Hu, 2022</w:t>
      </w:r>
      <w:r w:rsidR="00D64C30">
        <w:rPr>
          <w:rFonts w:ascii="Times New Roman" w:hAnsi="Times New Roman" w:cs="Times New Roman"/>
          <w:sz w:val="24"/>
          <w:szCs w:val="24"/>
        </w:rPr>
        <w:t>).</w:t>
      </w:r>
    </w:p>
    <w:p w:rsidR="00D64C30" w:rsidRDefault="00D64C30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A0614">
        <w:rPr>
          <w:rFonts w:ascii="Times New Roman" w:hAnsi="Times New Roman" w:cs="Times New Roman"/>
          <w:i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4C30" w:rsidRDefault="0004674D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Involvement of nurse informaticists: </w:t>
      </w:r>
      <w:r w:rsidR="000F3F00">
        <w:rPr>
          <w:rFonts w:ascii="Times New Roman" w:hAnsi="Times New Roman" w:cs="Times New Roman"/>
          <w:sz w:val="24"/>
          <w:szCs w:val="24"/>
        </w:rPr>
        <w:t>These professionals could help in optimizing the system by addressing usability needs</w:t>
      </w:r>
      <w:r w:rsidR="000A0614">
        <w:rPr>
          <w:rFonts w:ascii="Times New Roman" w:hAnsi="Times New Roman" w:cs="Times New Roman"/>
          <w:sz w:val="24"/>
          <w:szCs w:val="24"/>
        </w:rPr>
        <w:t>.</w:t>
      </w:r>
    </w:p>
    <w:p w:rsidR="000A0614" w:rsidRDefault="000A0614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additional IT tools and modules: </w:t>
      </w:r>
      <w:r w:rsidR="001E1F66">
        <w:rPr>
          <w:rFonts w:ascii="Times New Roman" w:hAnsi="Times New Roman" w:cs="Times New Roman"/>
          <w:sz w:val="24"/>
          <w:szCs w:val="24"/>
        </w:rPr>
        <w:t>Adding new tools and modules could improve clinical processes and care delivery, as long as the new additions also prioritize usability.</w:t>
      </w:r>
    </w:p>
    <w:p w:rsidR="000A0614" w:rsidRDefault="000A0614" w:rsidP="009C2806">
      <w:pPr>
        <w:spacing w:after="100"/>
        <w:rPr>
          <w:rFonts w:ascii="Times New Roman" w:hAnsi="Times New Roman" w:cs="Times New Roman"/>
          <w:i/>
          <w:sz w:val="24"/>
          <w:szCs w:val="24"/>
        </w:rPr>
      </w:pPr>
      <w:r w:rsidRPr="00766833">
        <w:rPr>
          <w:rFonts w:ascii="Times New Roman" w:hAnsi="Times New Roman" w:cs="Times New Roman"/>
          <w:i/>
          <w:sz w:val="24"/>
          <w:szCs w:val="24"/>
        </w:rPr>
        <w:t>Threats</w:t>
      </w:r>
      <w:r w:rsidR="00766833">
        <w:rPr>
          <w:rFonts w:ascii="Times New Roman" w:hAnsi="Times New Roman" w:cs="Times New Roman"/>
          <w:i/>
          <w:sz w:val="24"/>
          <w:szCs w:val="24"/>
        </w:rPr>
        <w:t>:</w:t>
      </w:r>
    </w:p>
    <w:p w:rsidR="00766833" w:rsidRDefault="00766833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Interoperability: </w:t>
      </w:r>
      <w:r w:rsidR="007378D8">
        <w:rPr>
          <w:rFonts w:ascii="Times New Roman" w:hAnsi="Times New Roman" w:cs="Times New Roman"/>
          <w:sz w:val="24"/>
          <w:szCs w:val="24"/>
        </w:rPr>
        <w:t>Implementing improvements may require additional tools that may create interoperability challenges (</w:t>
      </w:r>
      <w:r w:rsidR="00306DFD">
        <w:rPr>
          <w:rFonts w:ascii="Times New Roman" w:hAnsi="Times New Roman" w:cs="Times New Roman"/>
          <w:sz w:val="24"/>
          <w:szCs w:val="24"/>
        </w:rPr>
        <w:t xml:space="preserve">Thomson &amp; </w:t>
      </w:r>
      <w:proofErr w:type="spellStart"/>
      <w:r w:rsidR="000D04AC">
        <w:rPr>
          <w:rFonts w:ascii="Times New Roman" w:hAnsi="Times New Roman" w:cs="Times New Roman"/>
          <w:sz w:val="24"/>
          <w:szCs w:val="24"/>
        </w:rPr>
        <w:t>Graetz</w:t>
      </w:r>
      <w:proofErr w:type="spellEnd"/>
      <w:r w:rsidR="000D04AC">
        <w:rPr>
          <w:rFonts w:ascii="Times New Roman" w:hAnsi="Times New Roman" w:cs="Times New Roman"/>
          <w:sz w:val="24"/>
          <w:szCs w:val="24"/>
        </w:rPr>
        <w:t>, 2019</w:t>
      </w:r>
      <w:r w:rsidR="00CE0A9C">
        <w:rPr>
          <w:rFonts w:ascii="Times New Roman" w:hAnsi="Times New Roman" w:cs="Times New Roman"/>
          <w:sz w:val="24"/>
          <w:szCs w:val="24"/>
        </w:rPr>
        <w:t>).</w:t>
      </w:r>
    </w:p>
    <w:p w:rsidR="00CE0A9C" w:rsidRDefault="00FE2CEB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HIPAA compliance: </w:t>
      </w:r>
      <w:r w:rsidR="007B5A43">
        <w:rPr>
          <w:rFonts w:ascii="Times New Roman" w:hAnsi="Times New Roman" w:cs="Times New Roman"/>
          <w:sz w:val="24"/>
          <w:szCs w:val="24"/>
        </w:rPr>
        <w:t xml:space="preserve">Adequate analysis </w:t>
      </w:r>
      <w:r w:rsidR="003A3910">
        <w:rPr>
          <w:rFonts w:ascii="Times New Roman" w:hAnsi="Times New Roman" w:cs="Times New Roman"/>
          <w:sz w:val="24"/>
          <w:szCs w:val="24"/>
        </w:rPr>
        <w:t xml:space="preserve">is required during the improvements to avoid </w:t>
      </w:r>
      <w:r w:rsidR="00E77D11">
        <w:rPr>
          <w:rFonts w:ascii="Times New Roman" w:hAnsi="Times New Roman" w:cs="Times New Roman"/>
          <w:sz w:val="24"/>
          <w:szCs w:val="24"/>
        </w:rPr>
        <w:t xml:space="preserve">exposing patients’ private information, with emphasis on the </w:t>
      </w:r>
      <w:proofErr w:type="gramStart"/>
      <w:r w:rsidR="00E77D11">
        <w:rPr>
          <w:rFonts w:ascii="Times New Roman" w:hAnsi="Times New Roman" w:cs="Times New Roman"/>
          <w:sz w:val="24"/>
          <w:szCs w:val="24"/>
        </w:rPr>
        <w:t>back-up</w:t>
      </w:r>
      <w:proofErr w:type="gramEnd"/>
      <w:r w:rsidR="00E77D11">
        <w:rPr>
          <w:rFonts w:ascii="Times New Roman" w:hAnsi="Times New Roman" w:cs="Times New Roman"/>
          <w:sz w:val="24"/>
          <w:szCs w:val="24"/>
        </w:rPr>
        <w:t xml:space="preserve"> and recovery plan (</w:t>
      </w:r>
      <w:proofErr w:type="spellStart"/>
      <w:r w:rsidR="000D04AC">
        <w:rPr>
          <w:rFonts w:ascii="Times New Roman" w:hAnsi="Times New Roman" w:cs="Times New Roman"/>
          <w:sz w:val="24"/>
          <w:szCs w:val="24"/>
        </w:rPr>
        <w:t>Aguire</w:t>
      </w:r>
      <w:proofErr w:type="spellEnd"/>
      <w:r w:rsidR="000D04AC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E77D1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7D11" w:rsidRDefault="00E77D11" w:rsidP="009C280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</w:t>
      </w:r>
    </w:p>
    <w:p w:rsidR="00E77D11" w:rsidRDefault="00E57AEB" w:rsidP="009C2806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E57AEB" w:rsidRDefault="00D91F5B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F5B">
        <w:rPr>
          <w:rFonts w:ascii="Times New Roman" w:eastAsia="Times New Roman" w:hAnsi="Times New Roman" w:cs="Times New Roman"/>
          <w:sz w:val="24"/>
          <w:szCs w:val="24"/>
        </w:rPr>
        <w:t>Uslu</w:t>
      </w:r>
      <w:proofErr w:type="spellEnd"/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D91F5B">
        <w:rPr>
          <w:rFonts w:ascii="Times New Roman" w:eastAsia="Times New Roman" w:hAnsi="Times New Roman" w:cs="Times New Roman"/>
          <w:sz w:val="24"/>
          <w:szCs w:val="24"/>
        </w:rPr>
        <w:t>Stausberg</w:t>
      </w:r>
      <w:proofErr w:type="spellEnd"/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J. (2021). Value of the Electronic Medical Record for Hospital Care: Update </w:t>
      </w:r>
      <w:proofErr w:type="gramStart"/>
      <w:r w:rsidRPr="00D91F5B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 the Literature. </w:t>
      </w:r>
      <w:r w:rsidRPr="00D91F5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medical Internet research</w:t>
      </w:r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1F5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(12), e26323. </w:t>
      </w:r>
      <w:hyperlink r:id="rId4" w:history="1">
        <w:r w:rsidR="000D04AC"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https://doi.org/10.2196/26323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F5B" w:rsidRDefault="00D91F5B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Tsai, C. H., </w:t>
      </w:r>
      <w:proofErr w:type="spellStart"/>
      <w:r w:rsidRPr="00D91F5B">
        <w:rPr>
          <w:rFonts w:ascii="Times New Roman" w:eastAsia="Times New Roman" w:hAnsi="Times New Roman" w:cs="Times New Roman"/>
          <w:sz w:val="24"/>
          <w:szCs w:val="24"/>
        </w:rPr>
        <w:t>Eghdam</w:t>
      </w:r>
      <w:proofErr w:type="spellEnd"/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D91F5B">
        <w:rPr>
          <w:rFonts w:ascii="Times New Roman" w:eastAsia="Times New Roman" w:hAnsi="Times New Roman" w:cs="Times New Roman"/>
          <w:sz w:val="24"/>
          <w:szCs w:val="24"/>
        </w:rPr>
        <w:t>Davoody</w:t>
      </w:r>
      <w:proofErr w:type="spellEnd"/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N., Wright, G., </w:t>
      </w:r>
      <w:proofErr w:type="spellStart"/>
      <w:r w:rsidRPr="00D91F5B">
        <w:rPr>
          <w:rFonts w:ascii="Times New Roman" w:eastAsia="Times New Roman" w:hAnsi="Times New Roman" w:cs="Times New Roman"/>
          <w:sz w:val="24"/>
          <w:szCs w:val="24"/>
        </w:rPr>
        <w:t>Flowerday</w:t>
      </w:r>
      <w:proofErr w:type="spellEnd"/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S., &amp; Koch, S. (2020). Effects of Electronic Health Record </w:t>
      </w:r>
      <w:r w:rsidR="0040041C" w:rsidRPr="00D91F5B">
        <w:rPr>
          <w:rFonts w:ascii="Times New Roman" w:eastAsia="Times New Roman" w:hAnsi="Times New Roman" w:cs="Times New Roman"/>
          <w:sz w:val="24"/>
          <w:szCs w:val="24"/>
        </w:rPr>
        <w:t>implementation and</w:t>
      </w:r>
      <w:r w:rsidR="0040041C">
        <w:rPr>
          <w:rFonts w:ascii="Times New Roman" w:eastAsia="Times New Roman" w:hAnsi="Times New Roman" w:cs="Times New Roman"/>
          <w:sz w:val="24"/>
          <w:szCs w:val="24"/>
        </w:rPr>
        <w:t xml:space="preserve"> barriers to adoption and use: A</w:t>
      </w:r>
      <w:r w:rsidR="0040041C" w:rsidRPr="00D91F5B">
        <w:rPr>
          <w:rFonts w:ascii="Times New Roman" w:eastAsia="Times New Roman" w:hAnsi="Times New Roman" w:cs="Times New Roman"/>
          <w:sz w:val="24"/>
          <w:szCs w:val="24"/>
        </w:rPr>
        <w:t xml:space="preserve"> scoping </w:t>
      </w:r>
      <w:r w:rsidR="0040041C" w:rsidRPr="00D91F5B">
        <w:rPr>
          <w:rFonts w:ascii="Times New Roman" w:eastAsia="Times New Roman" w:hAnsi="Times New Roman" w:cs="Times New Roman"/>
          <w:sz w:val="24"/>
          <w:szCs w:val="24"/>
        </w:rPr>
        <w:lastRenderedPageBreak/>
        <w:t>review and qualitative analysis of the content</w:t>
      </w:r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91F5B">
        <w:rPr>
          <w:rFonts w:ascii="Times New Roman" w:eastAsia="Times New Roman" w:hAnsi="Times New Roman" w:cs="Times New Roman"/>
          <w:i/>
          <w:iCs/>
          <w:sz w:val="24"/>
          <w:szCs w:val="24"/>
        </w:rPr>
        <w:t>Life (Basel, Switzerland)</w:t>
      </w:r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1F5B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91F5B">
        <w:rPr>
          <w:rFonts w:ascii="Times New Roman" w:eastAsia="Times New Roman" w:hAnsi="Times New Roman" w:cs="Times New Roman"/>
          <w:sz w:val="24"/>
          <w:szCs w:val="24"/>
        </w:rPr>
        <w:t xml:space="preserve">(12), 327. </w:t>
      </w:r>
      <w:hyperlink r:id="rId5" w:history="1">
        <w:r w:rsidR="0040041C"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https://doi.org/10.3390/life10120327</w:t>
        </w:r>
      </w:hyperlink>
    </w:p>
    <w:p w:rsidR="0040041C" w:rsidRDefault="0040041C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041C">
        <w:rPr>
          <w:rFonts w:ascii="Times New Roman" w:eastAsia="Times New Roman" w:hAnsi="Times New Roman" w:cs="Times New Roman"/>
          <w:sz w:val="24"/>
          <w:szCs w:val="24"/>
        </w:rPr>
        <w:t>Mena</w:t>
      </w:r>
      <w:r>
        <w:rPr>
          <w:rFonts w:ascii="Times New Roman" w:eastAsia="Times New Roman" w:hAnsi="Times New Roman" w:cs="Times New Roman"/>
          <w:sz w:val="24"/>
          <w:szCs w:val="24"/>
        </w:rPr>
        <w:t>chemi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 H. (2019</w:t>
      </w:r>
      <w:r w:rsidRPr="0040041C">
        <w:rPr>
          <w:rFonts w:ascii="Times New Roman" w:eastAsia="Times New Roman" w:hAnsi="Times New Roman" w:cs="Times New Roman"/>
          <w:sz w:val="24"/>
          <w:szCs w:val="24"/>
        </w:rPr>
        <w:t xml:space="preserve">). Benefits and drawbacks of electronic health record systems. </w:t>
      </w:r>
      <w:r w:rsidRPr="0040041C">
        <w:rPr>
          <w:rFonts w:ascii="Times New Roman" w:eastAsia="Times New Roman" w:hAnsi="Times New Roman" w:cs="Times New Roman"/>
          <w:i/>
          <w:iCs/>
          <w:sz w:val="24"/>
          <w:szCs w:val="24"/>
        </w:rPr>
        <w:t>Risk management and healthcare policy</w:t>
      </w:r>
      <w:r w:rsidRPr="004004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41C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0041C">
        <w:rPr>
          <w:rFonts w:ascii="Times New Roman" w:eastAsia="Times New Roman" w:hAnsi="Times New Roman" w:cs="Times New Roman"/>
          <w:sz w:val="24"/>
          <w:szCs w:val="24"/>
        </w:rPr>
        <w:t xml:space="preserve">, 47–55. </w:t>
      </w:r>
      <w:hyperlink r:id="rId6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https://doi.org/10.2147/RMHP.S12985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3C7A" w:rsidRDefault="00D83C7A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3C7A">
        <w:rPr>
          <w:rFonts w:ascii="Times New Roman" w:eastAsia="Times New Roman" w:hAnsi="Times New Roman" w:cs="Times New Roman"/>
          <w:sz w:val="24"/>
          <w:szCs w:val="24"/>
        </w:rPr>
        <w:t>Upadhyay</w:t>
      </w:r>
      <w:proofErr w:type="spellEnd"/>
      <w:r w:rsidRPr="00D83C7A">
        <w:rPr>
          <w:rFonts w:ascii="Times New Roman" w:eastAsia="Times New Roman" w:hAnsi="Times New Roman" w:cs="Times New Roman"/>
          <w:sz w:val="24"/>
          <w:szCs w:val="24"/>
        </w:rPr>
        <w:t xml:space="preserve">, S., &amp; Hu, H. F. (2022). A Qualitative Analysis of the Impact of Electronic Health Records (EHR) on Healthcare Quality and Safety: Clinicians' Lived Experiences. </w:t>
      </w:r>
      <w:r w:rsidRPr="00D83C7A">
        <w:rPr>
          <w:rFonts w:ascii="Times New Roman" w:eastAsia="Times New Roman" w:hAnsi="Times New Roman" w:cs="Times New Roman"/>
          <w:i/>
          <w:iCs/>
          <w:sz w:val="24"/>
          <w:szCs w:val="24"/>
        </w:rPr>
        <w:t>Health services insights</w:t>
      </w:r>
      <w:r w:rsidRPr="00D83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83C7A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D83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83C7A">
        <w:rPr>
          <w:rFonts w:ascii="Times New Roman" w:eastAsia="Times New Roman" w:hAnsi="Times New Roman" w:cs="Times New Roman"/>
          <w:sz w:val="24"/>
          <w:szCs w:val="24"/>
        </w:rPr>
        <w:t>11786329211070722</w:t>
      </w:r>
      <w:proofErr w:type="gramEnd"/>
      <w:r w:rsidRPr="00D83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https://doi.org/10.1177/11786329211070722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6DFD" w:rsidRDefault="00306DFD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Thompson,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Graetz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 (2019). Hospital adoption of interoperability functions.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Health Care,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100347. </w:t>
      </w:r>
      <w:hyperlink r:id="rId8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https://doi.org/10.10/j.hjdsi.2018.12.001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04AC" w:rsidRDefault="000D04AC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04AC">
        <w:rPr>
          <w:rFonts w:ascii="Times New Roman" w:eastAsia="Times New Roman" w:hAnsi="Times New Roman" w:cs="Times New Roman"/>
          <w:sz w:val="24"/>
          <w:szCs w:val="24"/>
        </w:rPr>
        <w:t xml:space="preserve">Aguirre, R. R., Suarez, O., Fuentes, M., &amp; Sanchez-Gonzalez, M. A. (2019). Electronic Health Record Implementation: A Review of Resources and Tools. </w:t>
      </w:r>
      <w:proofErr w:type="spellStart"/>
      <w:r w:rsidRPr="000D04AC">
        <w:rPr>
          <w:rFonts w:ascii="Times New Roman" w:eastAsia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0D0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04A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D04AC">
        <w:rPr>
          <w:rFonts w:ascii="Times New Roman" w:eastAsia="Times New Roman" w:hAnsi="Times New Roman" w:cs="Times New Roman"/>
          <w:sz w:val="24"/>
          <w:szCs w:val="24"/>
        </w:rPr>
        <w:t xml:space="preserve">(9), e5649. </w:t>
      </w:r>
      <w:hyperlink r:id="rId9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https://doi.org/10.7759/cureus.5649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440" w:rsidRDefault="00FD3440" w:rsidP="009C280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5363E" w:rsidRDefault="00926C3A" w:rsidP="009C2806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Response to Angelique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Kleer</w:t>
      </w:r>
      <w:proofErr w:type="spellEnd"/>
    </w:p>
    <w:p w:rsidR="00926C3A" w:rsidRDefault="00926C3A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your </w:t>
      </w:r>
      <w:r w:rsidR="00E738C8">
        <w:rPr>
          <w:rFonts w:ascii="Times New Roman" w:eastAsia="Times New Roman" w:hAnsi="Times New Roman" w:cs="Times New Roman"/>
          <w:sz w:val="24"/>
          <w:szCs w:val="24"/>
        </w:rPr>
        <w:t xml:space="preserve">insightful post. </w:t>
      </w:r>
      <w:r w:rsidR="00E17A17">
        <w:rPr>
          <w:rFonts w:ascii="Times New Roman" w:eastAsia="Times New Roman" w:hAnsi="Times New Roman" w:cs="Times New Roman"/>
          <w:sz w:val="24"/>
          <w:szCs w:val="24"/>
        </w:rPr>
        <w:t xml:space="preserve">I can relate to the issue of sleep problems among psychiatric patients based on </w:t>
      </w:r>
      <w:r w:rsidR="007D4A06">
        <w:rPr>
          <w:rFonts w:ascii="Times New Roman" w:eastAsia="Times New Roman" w:hAnsi="Times New Roman" w:cs="Times New Roman"/>
          <w:sz w:val="24"/>
          <w:szCs w:val="24"/>
        </w:rPr>
        <w:t xml:space="preserve">experience in my practice setting. </w:t>
      </w:r>
      <w:r w:rsidR="007F43F8">
        <w:rPr>
          <w:rFonts w:ascii="Times New Roman" w:eastAsia="Times New Roman" w:hAnsi="Times New Roman" w:cs="Times New Roman"/>
          <w:sz w:val="24"/>
          <w:szCs w:val="24"/>
        </w:rPr>
        <w:t>The subsequent SWOT analysis relates to the problem of inadequate sleep assessments.</w:t>
      </w:r>
    </w:p>
    <w:p w:rsidR="007F43F8" w:rsidRDefault="007F43F8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Strengths:</w:t>
      </w:r>
    </w:p>
    <w:p w:rsidR="007F43F8" w:rsidRDefault="0061445C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Addressing predictors of poor sleep quality: Comprehensive assessment can help clinicians in understanding specific predictors of sleep quality that vary across individual patients (</w:t>
      </w:r>
      <w:r w:rsidR="00323CD6">
        <w:rPr>
          <w:rFonts w:ascii="Times New Roman" w:eastAsia="Times New Roman" w:hAnsi="Times New Roman" w:cs="Times New Roman"/>
          <w:sz w:val="24"/>
          <w:szCs w:val="24"/>
        </w:rPr>
        <w:t>Singh et al., 2021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1445C" w:rsidRDefault="00F36C5B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Enhanced management of sleep problems: Assessing sleep disturbances can allow the implementation of appropriate interventions that would improve sleep quality/quantity, hence, patients’ health-related quality of life (</w:t>
      </w:r>
      <w:r w:rsidR="00323CD6">
        <w:rPr>
          <w:rFonts w:ascii="Times New Roman" w:eastAsia="Times New Roman" w:hAnsi="Times New Roman" w:cs="Times New Roman"/>
          <w:sz w:val="24"/>
          <w:szCs w:val="24"/>
        </w:rPr>
        <w:t>Varma et al., 2021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36C5B" w:rsidRDefault="00F36C5B" w:rsidP="009C2806">
      <w:pPr>
        <w:spacing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Weaknesses:</w:t>
      </w:r>
    </w:p>
    <w:p w:rsidR="00F36C5B" w:rsidRDefault="003D5E6C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 constraints: Conducting comprehensive sleep assessments may require dedicating additional time, which may reduce the number of patients seen.</w:t>
      </w:r>
    </w:p>
    <w:p w:rsidR="003D5E6C" w:rsidRDefault="00756636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Poor reporting: Individuals with serious mental illness may find it challenges in reporting their sleep quality, which may complicate an understanding of the issue.</w:t>
      </w:r>
    </w:p>
    <w:p w:rsidR="00F23C08" w:rsidRDefault="00F23C08" w:rsidP="009C2806">
      <w:pPr>
        <w:spacing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Opportunities:</w:t>
      </w:r>
    </w:p>
    <w:p w:rsidR="00F23C08" w:rsidRDefault="005E0C26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Validated instruments for sleep assessment: Clinicians can use a range of reliable and validated sleep assessment tools, including the Pittsburg Sleep Quality Index</w:t>
      </w:r>
      <w:r w:rsidR="00060C26">
        <w:rPr>
          <w:rFonts w:ascii="Times New Roman" w:eastAsia="Times New Roman" w:hAnsi="Times New Roman" w:cs="Times New Roman"/>
          <w:sz w:val="24"/>
          <w:szCs w:val="24"/>
        </w:rPr>
        <w:t xml:space="preserve"> (PSQI)</w:t>
      </w:r>
      <w:r w:rsidR="00414AF7">
        <w:rPr>
          <w:rFonts w:ascii="Times New Roman" w:eastAsia="Times New Roman" w:hAnsi="Times New Roman" w:cs="Times New Roman"/>
          <w:sz w:val="24"/>
          <w:szCs w:val="24"/>
        </w:rPr>
        <w:t>, among psychiatric patients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23CD6">
        <w:rPr>
          <w:rFonts w:ascii="Times New Roman" w:eastAsia="Times New Roman" w:hAnsi="Times New Roman" w:cs="Times New Roman"/>
          <w:sz w:val="24"/>
          <w:szCs w:val="24"/>
        </w:rPr>
        <w:t xml:space="preserve">Faulkner &amp; </w:t>
      </w:r>
      <w:proofErr w:type="spellStart"/>
      <w:r w:rsidR="00323CD6">
        <w:rPr>
          <w:rFonts w:ascii="Times New Roman" w:eastAsia="Times New Roman" w:hAnsi="Times New Roman" w:cs="Times New Roman"/>
          <w:sz w:val="24"/>
          <w:szCs w:val="24"/>
        </w:rPr>
        <w:t>Sidey</w:t>
      </w:r>
      <w:proofErr w:type="spellEnd"/>
      <w:r w:rsidR="00323CD6">
        <w:rPr>
          <w:rFonts w:ascii="Times New Roman" w:eastAsia="Times New Roman" w:hAnsi="Times New Roman" w:cs="Times New Roman"/>
          <w:sz w:val="24"/>
          <w:szCs w:val="24"/>
        </w:rPr>
        <w:t>-Gibbons, 2019</w:t>
      </w:r>
      <w:r w:rsidR="00414AF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14AF7" w:rsidRPr="001C1E7A" w:rsidRDefault="008855A6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Incorporation of technology</w:t>
      </w:r>
      <w:r w:rsidR="00E92B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Wearable </w:t>
      </w:r>
      <w:r w:rsidR="00E0720B">
        <w:rPr>
          <w:rFonts w:ascii="Times New Roman" w:eastAsia="Times New Roman" w:hAnsi="Times New Roman" w:cs="Times New Roman"/>
          <w:sz w:val="24"/>
          <w:szCs w:val="24"/>
        </w:rPr>
        <w:t xml:space="preserve">devices such as chest- and wrist-worn sensors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 w:rsidR="00E0720B">
        <w:rPr>
          <w:rFonts w:ascii="Times New Roman" w:eastAsia="Times New Roman" w:hAnsi="Times New Roman" w:cs="Times New Roman"/>
          <w:sz w:val="24"/>
          <w:szCs w:val="24"/>
        </w:rPr>
        <w:t xml:space="preserve"> help in estimating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sleep parameters in real-time </w:t>
      </w:r>
      <w:r w:rsidR="00E0720B">
        <w:rPr>
          <w:rFonts w:ascii="Times New Roman" w:eastAsia="Times New Roman" w:hAnsi="Times New Roman" w:cs="Times New Roman"/>
          <w:sz w:val="24"/>
          <w:szCs w:val="24"/>
        </w:rPr>
        <w:t xml:space="preserve">and implementing appropriate measures to address </w:t>
      </w:r>
      <w:r w:rsidR="00C918AA">
        <w:rPr>
          <w:rFonts w:ascii="Times New Roman" w:eastAsia="Times New Roman" w:hAnsi="Times New Roman" w:cs="Times New Roman"/>
          <w:sz w:val="24"/>
          <w:szCs w:val="24"/>
        </w:rPr>
        <w:t xml:space="preserve">disturbances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9572A">
        <w:rPr>
          <w:rFonts w:ascii="Times New Roman" w:eastAsia="Times New Roman" w:hAnsi="Times New Roman" w:cs="Times New Roman"/>
          <w:sz w:val="24"/>
          <w:szCs w:val="24"/>
        </w:rPr>
        <w:t>Razjouyan</w:t>
      </w:r>
      <w:proofErr w:type="spellEnd"/>
      <w:r w:rsidR="0069572A">
        <w:rPr>
          <w:rFonts w:ascii="Times New Roman" w:eastAsia="Times New Roman" w:hAnsi="Times New Roman" w:cs="Times New Roman"/>
          <w:sz w:val="24"/>
          <w:szCs w:val="24"/>
        </w:rPr>
        <w:t xml:space="preserve"> et al.,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23C08" w:rsidRDefault="00F23C08" w:rsidP="009C2806">
      <w:pPr>
        <w:spacing w:after="10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Threats:</w:t>
      </w:r>
    </w:p>
    <w:p w:rsidR="00C304E6" w:rsidRDefault="00C304E6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Cognitive impairments: Implementing self-report</w:t>
      </w:r>
      <w:r w:rsidR="00AA3214">
        <w:rPr>
          <w:rFonts w:ascii="Times New Roman" w:eastAsia="Times New Roman" w:hAnsi="Times New Roman" w:cs="Times New Roman"/>
          <w:sz w:val="24"/>
          <w:szCs w:val="24"/>
        </w:rPr>
        <w:t>ed tools in assessing sleep quality may not accurately identify the problems in patients with severe cognitive decline (</w:t>
      </w:r>
      <w:proofErr w:type="spellStart"/>
      <w:r w:rsidR="009C2806">
        <w:rPr>
          <w:rFonts w:ascii="Times New Roman" w:eastAsia="Times New Roman" w:hAnsi="Times New Roman" w:cs="Times New Roman"/>
          <w:sz w:val="24"/>
          <w:szCs w:val="24"/>
        </w:rPr>
        <w:t>McSorley</w:t>
      </w:r>
      <w:proofErr w:type="spellEnd"/>
      <w:r w:rsidR="009C2806">
        <w:rPr>
          <w:rFonts w:ascii="Times New Roman" w:eastAsia="Times New Roman" w:hAnsi="Times New Roman" w:cs="Times New Roman"/>
          <w:sz w:val="24"/>
          <w:szCs w:val="24"/>
        </w:rPr>
        <w:t xml:space="preserve"> et al., 2019</w:t>
      </w:r>
      <w:r w:rsidR="00AA321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A3214" w:rsidRDefault="00C918AA" w:rsidP="009C28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Ethical issues: Using real-time sensors may evoke ethical challenges such as autonomy and privacy if </w:t>
      </w:r>
      <w:r w:rsidR="00312E78">
        <w:rPr>
          <w:rFonts w:ascii="Times New Roman" w:eastAsia="Times New Roman" w:hAnsi="Times New Roman" w:cs="Times New Roman"/>
          <w:sz w:val="24"/>
          <w:szCs w:val="24"/>
        </w:rPr>
        <w:t xml:space="preserve">patients have not given consent for such monitoring. </w:t>
      </w:r>
    </w:p>
    <w:p w:rsidR="00223B2B" w:rsidRDefault="00223B2B" w:rsidP="009C2806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:rsidR="009C2806" w:rsidRDefault="009C2806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Faulkner, S., &amp;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Sidey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-Gibbons, C. (2019). Use of the Pittsburgh Sleep Quality Index in People </w:t>
      </w:r>
      <w:proofErr w:type="gramStart"/>
      <w:r w:rsidRPr="00323CD6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 Schizophrenia Spectrum Disorders: A Mixed Methods Study. </w:t>
      </w:r>
      <w:r w:rsidRPr="00323CD6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psychiatry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CD6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284. </w:t>
      </w:r>
      <w:hyperlink r:id="rId10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https://doi.org/10.3389/fpsyt.2019.00284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806" w:rsidRPr="00323CD6" w:rsidRDefault="009C2806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2806">
        <w:rPr>
          <w:rFonts w:ascii="Times New Roman" w:eastAsia="Times New Roman" w:hAnsi="Times New Roman" w:cs="Times New Roman"/>
          <w:sz w:val="24"/>
          <w:szCs w:val="24"/>
        </w:rPr>
        <w:t>McSorley</w:t>
      </w:r>
      <w:proofErr w:type="spellEnd"/>
      <w:r w:rsidRPr="009C2806">
        <w:rPr>
          <w:rFonts w:ascii="Times New Roman" w:eastAsia="Times New Roman" w:hAnsi="Times New Roman" w:cs="Times New Roman"/>
          <w:sz w:val="24"/>
          <w:szCs w:val="24"/>
        </w:rPr>
        <w:t xml:space="preserve">, V. E., Bin, Y. S., &amp; Lauderdale, D. S. (2019). </w:t>
      </w:r>
      <w:proofErr w:type="gramStart"/>
      <w:r w:rsidRPr="009C2806">
        <w:rPr>
          <w:rFonts w:ascii="Times New Roman" w:eastAsia="Times New Roman" w:hAnsi="Times New Roman" w:cs="Times New Roman"/>
          <w:sz w:val="24"/>
          <w:szCs w:val="24"/>
        </w:rPr>
        <w:t>associations</w:t>
      </w:r>
      <w:proofErr w:type="gramEnd"/>
      <w:r w:rsidRPr="009C2806">
        <w:rPr>
          <w:rFonts w:ascii="Times New Roman" w:eastAsia="Times New Roman" w:hAnsi="Times New Roman" w:cs="Times New Roman"/>
          <w:sz w:val="24"/>
          <w:szCs w:val="24"/>
        </w:rPr>
        <w:t xml:space="preserve"> of sleep characteristics with cognitive function and decline among older adults. </w:t>
      </w:r>
      <w:r w:rsidRPr="009C2806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epidemiology</w:t>
      </w:r>
      <w:r w:rsidRPr="009C28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2806">
        <w:rPr>
          <w:rFonts w:ascii="Times New Roman" w:eastAsia="Times New Roman" w:hAnsi="Times New Roman" w:cs="Times New Roman"/>
          <w:i/>
          <w:iCs/>
          <w:sz w:val="24"/>
          <w:szCs w:val="24"/>
        </w:rPr>
        <w:t>188</w:t>
      </w:r>
      <w:r w:rsidRPr="009C2806">
        <w:rPr>
          <w:rFonts w:ascii="Times New Roman" w:eastAsia="Times New Roman" w:hAnsi="Times New Roman" w:cs="Times New Roman"/>
          <w:sz w:val="24"/>
          <w:szCs w:val="24"/>
        </w:rPr>
        <w:t xml:space="preserve">(6), 1066–1075. </w:t>
      </w:r>
      <w:hyperlink r:id="rId11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https://doi.org/10.1093/aje/kwz037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806" w:rsidRDefault="009C2806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572A">
        <w:rPr>
          <w:rFonts w:ascii="Times New Roman" w:eastAsia="Times New Roman" w:hAnsi="Times New Roman" w:cs="Times New Roman"/>
          <w:sz w:val="24"/>
          <w:szCs w:val="24"/>
        </w:rPr>
        <w:t>Razjouyan</w:t>
      </w:r>
      <w:proofErr w:type="spellEnd"/>
      <w:r w:rsidRPr="0069572A">
        <w:rPr>
          <w:rFonts w:ascii="Times New Roman" w:eastAsia="Times New Roman" w:hAnsi="Times New Roman" w:cs="Times New Roman"/>
          <w:sz w:val="24"/>
          <w:szCs w:val="24"/>
        </w:rPr>
        <w:t xml:space="preserve">, J., Lee, H., </w:t>
      </w:r>
      <w:proofErr w:type="spellStart"/>
      <w:r w:rsidRPr="0069572A">
        <w:rPr>
          <w:rFonts w:ascii="Times New Roman" w:eastAsia="Times New Roman" w:hAnsi="Times New Roman" w:cs="Times New Roman"/>
          <w:sz w:val="24"/>
          <w:szCs w:val="24"/>
        </w:rPr>
        <w:t>Parthasarathy</w:t>
      </w:r>
      <w:proofErr w:type="spellEnd"/>
      <w:r w:rsidRPr="0069572A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69572A">
        <w:rPr>
          <w:rFonts w:ascii="Times New Roman" w:eastAsia="Times New Roman" w:hAnsi="Times New Roman" w:cs="Times New Roman"/>
          <w:sz w:val="24"/>
          <w:szCs w:val="24"/>
        </w:rPr>
        <w:t>Mohler</w:t>
      </w:r>
      <w:proofErr w:type="spellEnd"/>
      <w:r w:rsidRPr="0069572A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69572A">
        <w:rPr>
          <w:rFonts w:ascii="Times New Roman" w:eastAsia="Times New Roman" w:hAnsi="Times New Roman" w:cs="Times New Roman"/>
          <w:sz w:val="24"/>
          <w:szCs w:val="24"/>
        </w:rPr>
        <w:t>Shar</w:t>
      </w:r>
      <w:r>
        <w:rPr>
          <w:rFonts w:ascii="Times New Roman" w:eastAsia="Times New Roman" w:hAnsi="Times New Roman" w:cs="Times New Roman"/>
          <w:sz w:val="24"/>
          <w:szCs w:val="24"/>
        </w:rPr>
        <w:t>afkhaneh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B. (2018</w:t>
      </w:r>
      <w:r w:rsidRPr="0069572A">
        <w:rPr>
          <w:rFonts w:ascii="Times New Roman" w:eastAsia="Times New Roman" w:hAnsi="Times New Roman" w:cs="Times New Roman"/>
          <w:sz w:val="24"/>
          <w:szCs w:val="24"/>
        </w:rPr>
        <w:t xml:space="preserve">). Improving sleep quality assessment using wearable sensors by including information from postural/sleep position changes and body acceleration: a comparison of chest-worn </w:t>
      </w:r>
      <w:r w:rsidRPr="006957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sensors, wrist </w:t>
      </w:r>
      <w:proofErr w:type="spellStart"/>
      <w:r w:rsidRPr="0069572A">
        <w:rPr>
          <w:rFonts w:ascii="Times New Roman" w:eastAsia="Times New Roman" w:hAnsi="Times New Roman" w:cs="Times New Roman"/>
          <w:sz w:val="24"/>
          <w:szCs w:val="24"/>
        </w:rPr>
        <w:t>actigraphy</w:t>
      </w:r>
      <w:proofErr w:type="spellEnd"/>
      <w:r w:rsidRPr="0069572A">
        <w:rPr>
          <w:rFonts w:ascii="Times New Roman" w:eastAsia="Times New Roman" w:hAnsi="Times New Roman" w:cs="Times New Roman"/>
          <w:sz w:val="24"/>
          <w:szCs w:val="24"/>
        </w:rPr>
        <w:t xml:space="preserve">, and polysomnography. </w:t>
      </w:r>
      <w:r w:rsidRPr="0069572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Clinical Sleep Medicine</w:t>
      </w:r>
      <w:r w:rsidRPr="006957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572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9572A">
        <w:rPr>
          <w:rFonts w:ascii="Times New Roman" w:eastAsia="Times New Roman" w:hAnsi="Times New Roman" w:cs="Times New Roman"/>
          <w:sz w:val="24"/>
          <w:szCs w:val="24"/>
        </w:rPr>
        <w:t>(11), 1301-1310.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http://dx.doi.org/10.5664/jcsm.6802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806" w:rsidRDefault="009C2806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Singh, H.,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Shreyash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Ramappa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S. A.,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Kanneganti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S. P., &amp;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Subeesh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V. (2021). Assessment of sleep quality and its predictors among newly diagnosed psychiatric patients. </w:t>
      </w:r>
      <w:r w:rsidRPr="00323CD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basic and clinical physiology and pharmacology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CD6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(4), 439–444. </w:t>
      </w:r>
      <w:hyperlink r:id="rId13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https://doi.org/10.1515/jbcpp-2020-0319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2806" w:rsidRDefault="009C2806" w:rsidP="009C2806">
      <w:pPr>
        <w:spacing w:after="1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Varma, P., Burge, M.,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Meaklim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323CD6">
        <w:rPr>
          <w:rFonts w:ascii="Times New Roman" w:eastAsia="Times New Roman" w:hAnsi="Times New Roman" w:cs="Times New Roman"/>
          <w:sz w:val="24"/>
          <w:szCs w:val="24"/>
        </w:rPr>
        <w:t>Junge</w:t>
      </w:r>
      <w:proofErr w:type="spellEnd"/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M., &amp; Jackson, M. L. (2021). Poor sleep quality and its relationship with individual characteristics, personal experiences and mental health </w:t>
      </w:r>
      <w:r>
        <w:rPr>
          <w:rFonts w:ascii="Times New Roman" w:eastAsia="Times New Roman" w:hAnsi="Times New Roman" w:cs="Times New Roman"/>
          <w:sz w:val="24"/>
          <w:szCs w:val="24"/>
        </w:rPr>
        <w:t>during the COVID-19 p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andemic. </w:t>
      </w:r>
      <w:r w:rsidRPr="00323CD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CD6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323CD6">
        <w:rPr>
          <w:rFonts w:ascii="Times New Roman" w:eastAsia="Times New Roman" w:hAnsi="Times New Roman" w:cs="Times New Roman"/>
          <w:sz w:val="24"/>
          <w:szCs w:val="24"/>
        </w:rPr>
        <w:t xml:space="preserve">(11), 6030. </w:t>
      </w:r>
      <w:hyperlink r:id="rId14" w:history="1">
        <w:r w:rsidRPr="00130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https://doi.org/10.3390/ijerph18116030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C2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D9"/>
    <w:rsid w:val="00015DDB"/>
    <w:rsid w:val="0004674D"/>
    <w:rsid w:val="00060C26"/>
    <w:rsid w:val="000A0614"/>
    <w:rsid w:val="000D04AC"/>
    <w:rsid w:val="000F3F00"/>
    <w:rsid w:val="00111367"/>
    <w:rsid w:val="001C1E7A"/>
    <w:rsid w:val="001E1F66"/>
    <w:rsid w:val="00223B2B"/>
    <w:rsid w:val="002E6BB7"/>
    <w:rsid w:val="00306DFD"/>
    <w:rsid w:val="00312E78"/>
    <w:rsid w:val="00323CD6"/>
    <w:rsid w:val="003721BD"/>
    <w:rsid w:val="003A3910"/>
    <w:rsid w:val="003B75AD"/>
    <w:rsid w:val="003D5E6C"/>
    <w:rsid w:val="0040041C"/>
    <w:rsid w:val="00414AF7"/>
    <w:rsid w:val="004B4364"/>
    <w:rsid w:val="00583087"/>
    <w:rsid w:val="005B13CB"/>
    <w:rsid w:val="005E0C26"/>
    <w:rsid w:val="0061445C"/>
    <w:rsid w:val="0069572A"/>
    <w:rsid w:val="007378D8"/>
    <w:rsid w:val="00750868"/>
    <w:rsid w:val="00756636"/>
    <w:rsid w:val="00766833"/>
    <w:rsid w:val="00781ED9"/>
    <w:rsid w:val="007B5A43"/>
    <w:rsid w:val="007D4A06"/>
    <w:rsid w:val="007F43F8"/>
    <w:rsid w:val="00815558"/>
    <w:rsid w:val="00871BF1"/>
    <w:rsid w:val="008855A6"/>
    <w:rsid w:val="00926C3A"/>
    <w:rsid w:val="009B0226"/>
    <w:rsid w:val="009C2806"/>
    <w:rsid w:val="00A67188"/>
    <w:rsid w:val="00AA3214"/>
    <w:rsid w:val="00C304E6"/>
    <w:rsid w:val="00C44E86"/>
    <w:rsid w:val="00C918AA"/>
    <w:rsid w:val="00C978D4"/>
    <w:rsid w:val="00CC002B"/>
    <w:rsid w:val="00CD2E1E"/>
    <w:rsid w:val="00CE0A9C"/>
    <w:rsid w:val="00D037A0"/>
    <w:rsid w:val="00D64C30"/>
    <w:rsid w:val="00D83C7A"/>
    <w:rsid w:val="00D91F5B"/>
    <w:rsid w:val="00E0720B"/>
    <w:rsid w:val="00E17A17"/>
    <w:rsid w:val="00E51A73"/>
    <w:rsid w:val="00E57AEB"/>
    <w:rsid w:val="00E738C8"/>
    <w:rsid w:val="00E77D11"/>
    <w:rsid w:val="00E92B99"/>
    <w:rsid w:val="00F23C08"/>
    <w:rsid w:val="00F320E5"/>
    <w:rsid w:val="00F36C5B"/>
    <w:rsid w:val="00F5363E"/>
    <w:rsid w:val="00F95D16"/>
    <w:rsid w:val="00FB6ABF"/>
    <w:rsid w:val="00FD3440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99C4"/>
  <w15:chartTrackingRefBased/>
  <w15:docId w15:val="{B087303D-34A1-48DF-82DC-71EDEB85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/j.hjdsi.2018.12.001" TargetMode="External"/><Relationship Id="rId13" Type="http://schemas.openxmlformats.org/officeDocument/2006/relationships/hyperlink" Target="https://doi.org/10.1515/jbcpp-2020-03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1786329211070722" TargetMode="External"/><Relationship Id="rId12" Type="http://schemas.openxmlformats.org/officeDocument/2006/relationships/hyperlink" Target="http://dx.doi.org/10.5664/jcsm.680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2147/RMHP.S12985" TargetMode="External"/><Relationship Id="rId11" Type="http://schemas.openxmlformats.org/officeDocument/2006/relationships/hyperlink" Target="https://doi.org/10.1093/aje/kwz037" TargetMode="External"/><Relationship Id="rId5" Type="http://schemas.openxmlformats.org/officeDocument/2006/relationships/hyperlink" Target="https://doi.org/10.3390/life1012032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389/fpsyt.2019.00284" TargetMode="External"/><Relationship Id="rId4" Type="http://schemas.openxmlformats.org/officeDocument/2006/relationships/hyperlink" Target="https://doi.org/10.2196/26323" TargetMode="External"/><Relationship Id="rId9" Type="http://schemas.openxmlformats.org/officeDocument/2006/relationships/hyperlink" Target="https://doi.org/10.7759/cureus.5649" TargetMode="External"/><Relationship Id="rId14" Type="http://schemas.openxmlformats.org/officeDocument/2006/relationships/hyperlink" Target="https://doi.org/10.3390/ijerph1811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2023-07-26T23:47:00Z</dcterms:created>
  <dcterms:modified xsi:type="dcterms:W3CDTF">2023-07-27T01:00:00Z</dcterms:modified>
</cp:coreProperties>
</file>