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ECD4" w14:textId="3443C4B3" w:rsidR="00EE30D5" w:rsidRDefault="00714A5E">
      <w:pPr>
        <w:rPr>
          <w:b/>
          <w:bCs/>
        </w:rPr>
      </w:pPr>
      <w:r>
        <w:rPr>
          <w:b/>
          <w:bCs/>
        </w:rPr>
        <w:t>Response to Kelly Bates</w:t>
      </w:r>
    </w:p>
    <w:p w14:paraId="24E6A5EA" w14:textId="10C11F77" w:rsidR="00714A5E" w:rsidRDefault="00714A5E">
      <w:pPr>
        <w:rPr>
          <w:rFonts w:ascii="Times New Roman" w:hAnsi="Times New Roman" w:cs="Times New Roman"/>
          <w:sz w:val="24"/>
          <w:szCs w:val="24"/>
        </w:rPr>
      </w:pPr>
      <w:r>
        <w:t xml:space="preserve">Thank you, Kelly, for your insightful post. I really enjoyed reading your post and gaining additional </w:t>
      </w:r>
      <w:r w:rsidR="00EA7671">
        <w:t xml:space="preserve">insights into the medical malpractice in Massachusetts. I am also from </w:t>
      </w:r>
      <w:r w:rsidR="001B274B">
        <w:t xml:space="preserve">Massachusetts and acknowledge that </w:t>
      </w:r>
      <w:r w:rsidR="00E81AD6">
        <w:t xml:space="preserve">medical practice is a common </w:t>
      </w:r>
      <w:r w:rsidR="00B66135">
        <w:t xml:space="preserve">problem, with </w:t>
      </w:r>
      <w:r w:rsidR="00C836BE">
        <w:t>actions and claims being more among MDs than APRNs. Arguably, this shows that APRNs in our state acknowledge the importance of patient safety. Indeed, you observe that th</w:t>
      </w:r>
      <w:r w:rsidR="006903AE">
        <w:t xml:space="preserve">is could be associated with the </w:t>
      </w:r>
      <w:r w:rsidR="00757E1B">
        <w:t xml:space="preserve">specific focus on compassionate care in nursing. </w:t>
      </w:r>
      <w:r w:rsidR="00463BEE">
        <w:t xml:space="preserve">However, and as you aptly observe, differences between the professionals could be significantly contributing to disparity in the actions and claims. </w:t>
      </w:r>
      <w:r w:rsidR="00234E80">
        <w:t>The transition to practice period where APRNs work under collaborative agreements implies that many of the malpractices will be linked to the physician</w:t>
      </w:r>
      <w:r w:rsidR="00AD7A07">
        <w:t>s (</w:t>
      </w:r>
      <w:proofErr w:type="spellStart"/>
      <w:r w:rsidR="00AD7A07">
        <w:t>Kleinpell</w:t>
      </w:r>
      <w:proofErr w:type="spellEnd"/>
      <w:r w:rsidR="00AD7A07">
        <w:t xml:space="preserve"> et al., 2023). It is worth </w:t>
      </w:r>
      <w:r w:rsidR="0067483C">
        <w:t>also noting that the presence of the mandatory reporting requirement could discourage reporting because of the fear of liability (</w:t>
      </w:r>
      <w:r w:rsidR="0067483C">
        <w:rPr>
          <w:rFonts w:ascii="Times New Roman" w:hAnsi="Times New Roman" w:cs="Times New Roman"/>
          <w:sz w:val="24"/>
          <w:szCs w:val="24"/>
        </w:rPr>
        <w:t xml:space="preserve">Mello et al., 2020; </w:t>
      </w:r>
      <w:proofErr w:type="spellStart"/>
      <w:r w:rsidR="0067483C">
        <w:rPr>
          <w:rFonts w:ascii="Times New Roman" w:hAnsi="Times New Roman" w:cs="Times New Roman"/>
          <w:sz w:val="24"/>
          <w:szCs w:val="24"/>
        </w:rPr>
        <w:t>Studdert</w:t>
      </w:r>
      <w:proofErr w:type="spellEnd"/>
      <w:r w:rsidR="0067483C">
        <w:rPr>
          <w:rFonts w:ascii="Times New Roman" w:hAnsi="Times New Roman" w:cs="Times New Roman"/>
          <w:sz w:val="24"/>
          <w:szCs w:val="24"/>
        </w:rPr>
        <w:t xml:space="preserve"> &amp; Mello, 2018</w:t>
      </w:r>
      <w:r w:rsidR="0067483C">
        <w:rPr>
          <w:rFonts w:ascii="Times New Roman" w:hAnsi="Times New Roman" w:cs="Times New Roman"/>
          <w:sz w:val="24"/>
          <w:szCs w:val="24"/>
        </w:rPr>
        <w:t xml:space="preserve">). </w:t>
      </w:r>
      <w:r w:rsidR="00D90ADE">
        <w:rPr>
          <w:rFonts w:ascii="Times New Roman" w:hAnsi="Times New Roman" w:cs="Times New Roman"/>
          <w:sz w:val="24"/>
          <w:szCs w:val="24"/>
        </w:rPr>
        <w:t xml:space="preserve">I agree that </w:t>
      </w:r>
      <w:r w:rsidR="00154347">
        <w:rPr>
          <w:rFonts w:ascii="Times New Roman" w:hAnsi="Times New Roman" w:cs="Times New Roman"/>
          <w:sz w:val="24"/>
          <w:szCs w:val="24"/>
        </w:rPr>
        <w:t xml:space="preserve">addressing the problem is critical because of the effects on patient access. Indeed, the relocation of physicians to favorable environments </w:t>
      </w:r>
      <w:r w:rsidR="00C17C54">
        <w:rPr>
          <w:rFonts w:ascii="Times New Roman" w:hAnsi="Times New Roman" w:cs="Times New Roman"/>
          <w:sz w:val="24"/>
          <w:szCs w:val="24"/>
        </w:rPr>
        <w:t>compounds the shortage of physicians and increase costs of care, which compromises access to care.</w:t>
      </w:r>
    </w:p>
    <w:p w14:paraId="58D15D7D" w14:textId="70A3F951" w:rsidR="00C17C54" w:rsidRDefault="00C17C54" w:rsidP="00C17C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601166DB" w14:textId="77777777" w:rsidR="00C17C54" w:rsidRPr="0090030F" w:rsidRDefault="00C17C54" w:rsidP="00C17C5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030F">
        <w:rPr>
          <w:rFonts w:ascii="Times New Roman" w:hAnsi="Times New Roman" w:cs="Times New Roman"/>
          <w:sz w:val="24"/>
          <w:szCs w:val="24"/>
        </w:rPr>
        <w:t>Kleinpell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R., Myers, C. R., &amp;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Schorn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M. N. (2023). Addressing Barriers to APRN Practice: Policy and Regulatory Implications During COVID-19.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Journal of Nursing Regulation</w:t>
      </w:r>
      <w:r w:rsidRPr="0090030F">
        <w:rPr>
          <w:rFonts w:ascii="Times New Roman" w:hAnsi="Times New Roman" w:cs="Times New Roman"/>
          <w:sz w:val="24"/>
          <w:szCs w:val="24"/>
        </w:rPr>
        <w:t xml:space="preserve">,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90030F">
        <w:rPr>
          <w:rFonts w:ascii="Times New Roman" w:hAnsi="Times New Roman" w:cs="Times New Roman"/>
          <w:sz w:val="24"/>
          <w:szCs w:val="24"/>
        </w:rPr>
        <w:t xml:space="preserve">(1), 13-20. </w:t>
      </w:r>
      <w:hyperlink r:id="rId4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https://doi.org/10.1016/S2155-8256(23)00064-9</w:t>
        </w:r>
      </w:hyperlink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3C936" w14:textId="77777777" w:rsidR="00C17C54" w:rsidRPr="0090030F" w:rsidRDefault="00C17C54" w:rsidP="00C17C5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0030F">
        <w:rPr>
          <w:rFonts w:ascii="Times New Roman" w:hAnsi="Times New Roman" w:cs="Times New Roman"/>
          <w:sz w:val="24"/>
          <w:szCs w:val="24"/>
        </w:rPr>
        <w:t xml:space="preserve">Mello, M. M.,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Frakes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M. D.,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Blumenkranz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Studdert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D. M. (2020). Malpractice Liability and Health Care Quality.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JAMA</w:t>
      </w:r>
      <w:r w:rsidRPr="0090030F">
        <w:rPr>
          <w:rFonts w:ascii="Times New Roman" w:hAnsi="Times New Roman" w:cs="Times New Roman"/>
          <w:sz w:val="24"/>
          <w:szCs w:val="24"/>
        </w:rPr>
        <w:t xml:space="preserve">,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323</w:t>
      </w:r>
      <w:r w:rsidRPr="0090030F">
        <w:rPr>
          <w:rFonts w:ascii="Times New Roman" w:hAnsi="Times New Roman" w:cs="Times New Roman"/>
          <w:sz w:val="24"/>
          <w:szCs w:val="24"/>
        </w:rPr>
        <w:t xml:space="preserve">(4), 352. </w:t>
      </w:r>
      <w:hyperlink r:id="rId5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https://doi.org/10.1001/jama.2019.21411</w:t>
        </w:r>
      </w:hyperlink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1483C" w14:textId="3F680915" w:rsidR="00C17C54" w:rsidRDefault="002E61E7" w:rsidP="00976E49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Studdert</w:t>
      </w:r>
      <w:proofErr w:type="spellEnd"/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, D. M., &amp; Mello, M. M. (2018). In from the Cold: Law's Evolving Role in Patient Safety. 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DePaul L. Rev.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68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421. </w:t>
      </w:r>
      <w:hyperlink r:id="rId6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https://via.library.depaul.edu/cgi/viewcontent.cgi?article=4089&amp;context=law-review</w:t>
        </w:r>
      </w:hyperlink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F363498" w14:textId="77777777" w:rsidR="00976E49" w:rsidRDefault="00976E49" w:rsidP="00976E4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C005D1" w14:textId="68CED330" w:rsidR="00976E49" w:rsidRDefault="00976E49" w:rsidP="00976E49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Response </w:t>
      </w:r>
      <w:r w:rsidR="00835C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Carmen Sargent</w:t>
      </w:r>
    </w:p>
    <w:p w14:paraId="42B3CE89" w14:textId="549BD690" w:rsidR="00835C36" w:rsidRDefault="000737FC" w:rsidP="00976E4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Thank you for your informative contribution on medical malpractice. </w:t>
      </w:r>
      <w:r w:rsidR="00894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Malpractice remains a concerning issue in the healthcare system, albeit efforts made since the publication of the Institute of Medicine’s landmark report </w:t>
      </w:r>
      <w:r w:rsidR="0089406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To Err is Human </w:t>
      </w:r>
      <w:r w:rsidR="00894060">
        <w:rPr>
          <w:rFonts w:ascii="Times New Roman" w:hAnsi="Times New Roman" w:cs="Times New Roman"/>
          <w:sz w:val="24"/>
          <w:szCs w:val="24"/>
          <w:shd w:val="clear" w:color="auto" w:fill="FFFFFF"/>
        </w:rPr>
        <w:t>(Bates &amp; Singh, 2018)</w:t>
      </w:r>
      <w:r w:rsidR="0089406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r w:rsidR="003952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Professional liability policies have emerged to try address malpractice, </w:t>
      </w:r>
      <w:r w:rsidR="00A74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prevalence of errors continue. As you observe, </w:t>
      </w:r>
      <w:r w:rsidR="00626A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adverse actions and malpractice claims differ between APRNs and MDs significantly. </w:t>
      </w:r>
      <w:r w:rsidR="00547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adding to your observation, the difference could be attributed </w:t>
      </w:r>
      <w:r w:rsidR="00B75DDE">
        <w:rPr>
          <w:rFonts w:ascii="Times New Roman" w:hAnsi="Times New Roman" w:cs="Times New Roman"/>
          <w:sz w:val="24"/>
          <w:szCs w:val="24"/>
          <w:shd w:val="clear" w:color="auto" w:fill="FFFFFF"/>
        </w:rPr>
        <w:t>to APRN’s scope of practice and the transition to practice requi</w:t>
      </w:r>
      <w:r w:rsidR="00EC4767">
        <w:rPr>
          <w:rFonts w:ascii="Times New Roman" w:hAnsi="Times New Roman" w:cs="Times New Roman"/>
          <w:sz w:val="24"/>
          <w:szCs w:val="24"/>
          <w:shd w:val="clear" w:color="auto" w:fill="FFFFFF"/>
        </w:rPr>
        <w:t>reme</w:t>
      </w:r>
      <w:r w:rsidR="00B75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nts in Massachusetts. </w:t>
      </w:r>
      <w:r w:rsidR="00EC47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requirements imply that </w:t>
      </w:r>
      <w:r w:rsidR="00B8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APRNs work under physicians’ supervision for at least two years before gaining full practice authority (American Medical Association, 2017; </w:t>
      </w:r>
      <w:proofErr w:type="spellStart"/>
      <w:r w:rsidR="00B81CC3">
        <w:rPr>
          <w:rFonts w:ascii="Times New Roman" w:hAnsi="Times New Roman" w:cs="Times New Roman"/>
          <w:sz w:val="24"/>
          <w:szCs w:val="24"/>
          <w:shd w:val="clear" w:color="auto" w:fill="FFFFFF"/>
        </w:rPr>
        <w:t>Kleinpell</w:t>
      </w:r>
      <w:proofErr w:type="spellEnd"/>
      <w:r w:rsidR="00B8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2023). As such, many malpractices would be attributed to the supervising physician rather than the </w:t>
      </w:r>
      <w:r w:rsidR="007501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APRN. Besides, the fear of liability could be influencing the reporting of malpractice among APRNs (Mello et al., 2020). Overall, claims </w:t>
      </w:r>
      <w:r w:rsidR="00210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may motivate physicians to relocate to favorable states, creating physician shortage and poor access among disadvantaged populations. </w:t>
      </w:r>
      <w:r w:rsidR="00E75E7C">
        <w:rPr>
          <w:rFonts w:ascii="Times New Roman" w:hAnsi="Times New Roman" w:cs="Times New Roman"/>
          <w:sz w:val="24"/>
          <w:szCs w:val="24"/>
          <w:shd w:val="clear" w:color="auto" w:fill="FFFFFF"/>
        </w:rPr>
        <w:t>I believe that APRNs have a duty to ensure compassionate care and avoid errors that could lead to malpractice claims.</w:t>
      </w:r>
    </w:p>
    <w:p w14:paraId="1BAC72E0" w14:textId="3828DF1C" w:rsidR="00E75E7C" w:rsidRPr="00E75E7C" w:rsidRDefault="00E75E7C" w:rsidP="00E75E7C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References</w:t>
      </w:r>
    </w:p>
    <w:p w14:paraId="5AA20738" w14:textId="77777777" w:rsidR="00E75E7C" w:rsidRPr="0090030F" w:rsidRDefault="00E75E7C" w:rsidP="00E75E7C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American Association of Nurse Practitioners. (2023). </w:t>
      </w:r>
      <w:r w:rsidRPr="009003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Practice information by state: Massachusetts information and resources for NPs</w:t>
      </w:r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7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https://www.aanp.org/practice/practice-information-by-state</w:t>
        </w:r>
      </w:hyperlink>
      <w:r w:rsidRPr="00900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2CB3123" w14:textId="77777777" w:rsidR="00E75E7C" w:rsidRPr="0090030F" w:rsidRDefault="00E75E7C" w:rsidP="00E75E7C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0030F">
        <w:rPr>
          <w:rFonts w:ascii="Times New Roman" w:hAnsi="Times New Roman" w:cs="Times New Roman"/>
          <w:sz w:val="24"/>
          <w:szCs w:val="24"/>
        </w:rPr>
        <w:t>Kleinpell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R., Myers, C. R., &amp;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Schorn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M. N. (2023). Addressing Barriers to APRN Practice: Policy and Regulatory Implications During COVID-19.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Journal of Nursing Regulation</w:t>
      </w:r>
      <w:r w:rsidRPr="0090030F">
        <w:rPr>
          <w:rFonts w:ascii="Times New Roman" w:hAnsi="Times New Roman" w:cs="Times New Roman"/>
          <w:sz w:val="24"/>
          <w:szCs w:val="24"/>
        </w:rPr>
        <w:t xml:space="preserve">,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90030F">
        <w:rPr>
          <w:rFonts w:ascii="Times New Roman" w:hAnsi="Times New Roman" w:cs="Times New Roman"/>
          <w:sz w:val="24"/>
          <w:szCs w:val="24"/>
        </w:rPr>
        <w:t xml:space="preserve">(1), 13-20. </w:t>
      </w:r>
      <w:hyperlink r:id="rId8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https://doi.org/10.1016/S2155-8256(23)00064-9</w:t>
        </w:r>
      </w:hyperlink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50CC5" w14:textId="77777777" w:rsidR="00E75E7C" w:rsidRPr="0090030F" w:rsidRDefault="00E75E7C" w:rsidP="00E75E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0030F">
        <w:rPr>
          <w:rFonts w:ascii="Times New Roman" w:hAnsi="Times New Roman" w:cs="Times New Roman"/>
          <w:sz w:val="24"/>
          <w:szCs w:val="24"/>
        </w:rPr>
        <w:lastRenderedPageBreak/>
        <w:t xml:space="preserve">Mello, M. M.,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Frakes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M. D.,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Blumenkranz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90030F">
        <w:rPr>
          <w:rFonts w:ascii="Times New Roman" w:hAnsi="Times New Roman" w:cs="Times New Roman"/>
          <w:sz w:val="24"/>
          <w:szCs w:val="24"/>
        </w:rPr>
        <w:t>Studdert</w:t>
      </w:r>
      <w:proofErr w:type="spellEnd"/>
      <w:r w:rsidRPr="0090030F">
        <w:rPr>
          <w:rFonts w:ascii="Times New Roman" w:hAnsi="Times New Roman" w:cs="Times New Roman"/>
          <w:sz w:val="24"/>
          <w:szCs w:val="24"/>
        </w:rPr>
        <w:t xml:space="preserve">, D. M. (2020). Malpractice Liability and Health Care Quality.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JAMA</w:t>
      </w:r>
      <w:r w:rsidRPr="0090030F">
        <w:rPr>
          <w:rFonts w:ascii="Times New Roman" w:hAnsi="Times New Roman" w:cs="Times New Roman"/>
          <w:sz w:val="24"/>
          <w:szCs w:val="24"/>
        </w:rPr>
        <w:t xml:space="preserve">, </w:t>
      </w:r>
      <w:r w:rsidRPr="0090030F">
        <w:rPr>
          <w:rFonts w:ascii="Times New Roman" w:hAnsi="Times New Roman" w:cs="Times New Roman"/>
          <w:i/>
          <w:iCs/>
          <w:sz w:val="24"/>
          <w:szCs w:val="24"/>
        </w:rPr>
        <w:t>323</w:t>
      </w:r>
      <w:r w:rsidRPr="0090030F">
        <w:rPr>
          <w:rFonts w:ascii="Times New Roman" w:hAnsi="Times New Roman" w:cs="Times New Roman"/>
          <w:sz w:val="24"/>
          <w:szCs w:val="24"/>
        </w:rPr>
        <w:t xml:space="preserve">(4), 352. </w:t>
      </w:r>
      <w:hyperlink r:id="rId9" w:history="1">
        <w:r w:rsidRPr="009003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https://doi.org/10.1001/jama.2019.21411</w:t>
        </w:r>
      </w:hyperlink>
      <w:r w:rsidRPr="00900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4FBF0" w14:textId="77777777" w:rsidR="00E75E7C" w:rsidRPr="003952A9" w:rsidRDefault="00E75E7C" w:rsidP="00976E4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75E7C" w:rsidRPr="003952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5E"/>
    <w:rsid w:val="000737FC"/>
    <w:rsid w:val="00154347"/>
    <w:rsid w:val="001B274B"/>
    <w:rsid w:val="00210A01"/>
    <w:rsid w:val="00234E80"/>
    <w:rsid w:val="002D2CF3"/>
    <w:rsid w:val="002E61E7"/>
    <w:rsid w:val="003952A9"/>
    <w:rsid w:val="00463BEE"/>
    <w:rsid w:val="004C28B3"/>
    <w:rsid w:val="005478D6"/>
    <w:rsid w:val="00626A86"/>
    <w:rsid w:val="0067483C"/>
    <w:rsid w:val="006903AE"/>
    <w:rsid w:val="00714A5E"/>
    <w:rsid w:val="007501BE"/>
    <w:rsid w:val="00757E1B"/>
    <w:rsid w:val="00835C36"/>
    <w:rsid w:val="00894060"/>
    <w:rsid w:val="00976E49"/>
    <w:rsid w:val="00A74ADC"/>
    <w:rsid w:val="00AD7A07"/>
    <w:rsid w:val="00B66135"/>
    <w:rsid w:val="00B75DDE"/>
    <w:rsid w:val="00B81CC3"/>
    <w:rsid w:val="00C17C54"/>
    <w:rsid w:val="00C836BE"/>
    <w:rsid w:val="00D90ADE"/>
    <w:rsid w:val="00E75E7C"/>
    <w:rsid w:val="00E81AD6"/>
    <w:rsid w:val="00EA7671"/>
    <w:rsid w:val="00EC4767"/>
    <w:rsid w:val="00EE30D5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FE43C"/>
  <w15:chartTrackingRefBased/>
  <w15:docId w15:val="{07600E0B-6DE4-4724-9A62-D5973227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2155-8256(23)00064-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anp.org/practice/practice-information-by-sta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a.library.depaul.edu/cgi/viewcontent.cgi?article=4089&amp;context=law-revi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01/jama.2019.214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016/S2155-8256(23)00064-9" TargetMode="External"/><Relationship Id="rId9" Type="http://schemas.openxmlformats.org/officeDocument/2006/relationships/hyperlink" Target="https://doi.org/10.1001/jama.2019.21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2023-06-29T18:42:00Z</dcterms:created>
  <dcterms:modified xsi:type="dcterms:W3CDTF">2023-06-29T19:47:00Z</dcterms:modified>
</cp:coreProperties>
</file>