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C458" w14:textId="77777777" w:rsidR="00DB2640" w:rsidRDefault="00DB2640" w:rsidP="00DB2640">
      <w:pPr>
        <w:spacing w:line="480" w:lineRule="auto"/>
        <w:jc w:val="center"/>
        <w:rPr>
          <w:b/>
          <w:bCs/>
          <w:color w:val="000000" w:themeColor="text1"/>
        </w:rPr>
      </w:pPr>
    </w:p>
    <w:p w14:paraId="1C636695" w14:textId="77777777" w:rsidR="00DB2640" w:rsidRDefault="00DB2640" w:rsidP="00DB2640">
      <w:pPr>
        <w:spacing w:line="480" w:lineRule="auto"/>
        <w:jc w:val="center"/>
        <w:rPr>
          <w:b/>
          <w:bCs/>
          <w:color w:val="000000" w:themeColor="text1"/>
        </w:rPr>
      </w:pPr>
    </w:p>
    <w:p w14:paraId="728DF277" w14:textId="77777777" w:rsidR="00DB2640" w:rsidRDefault="00DB2640" w:rsidP="00DB2640">
      <w:pPr>
        <w:spacing w:line="480" w:lineRule="auto"/>
        <w:jc w:val="center"/>
        <w:rPr>
          <w:b/>
          <w:bCs/>
          <w:color w:val="000000" w:themeColor="text1"/>
        </w:rPr>
      </w:pPr>
    </w:p>
    <w:p w14:paraId="53DAF958" w14:textId="77777777" w:rsidR="00DB2640" w:rsidRDefault="00DB2640" w:rsidP="00DB2640">
      <w:pPr>
        <w:spacing w:line="480" w:lineRule="auto"/>
        <w:jc w:val="center"/>
        <w:rPr>
          <w:b/>
          <w:bCs/>
          <w:color w:val="000000" w:themeColor="text1"/>
        </w:rPr>
      </w:pPr>
    </w:p>
    <w:p w14:paraId="19BF311B" w14:textId="77777777" w:rsidR="00DB2640" w:rsidRDefault="00DB2640" w:rsidP="00DB2640">
      <w:pPr>
        <w:spacing w:line="480" w:lineRule="auto"/>
        <w:jc w:val="center"/>
        <w:rPr>
          <w:b/>
          <w:bCs/>
          <w:color w:val="000000" w:themeColor="text1"/>
        </w:rPr>
      </w:pPr>
    </w:p>
    <w:p w14:paraId="5B0AF018" w14:textId="77777777" w:rsidR="00DB2640" w:rsidRDefault="00DB2640" w:rsidP="00DB2640">
      <w:pPr>
        <w:spacing w:line="480" w:lineRule="auto"/>
        <w:jc w:val="center"/>
        <w:rPr>
          <w:b/>
          <w:bCs/>
          <w:color w:val="000000" w:themeColor="text1"/>
        </w:rPr>
      </w:pPr>
    </w:p>
    <w:p w14:paraId="5F0454A3" w14:textId="3C418D3B" w:rsidR="00DB2640" w:rsidRPr="0072235E" w:rsidRDefault="00DB2640" w:rsidP="00DB2640">
      <w:pPr>
        <w:spacing w:line="480" w:lineRule="auto"/>
        <w:jc w:val="center"/>
        <w:rPr>
          <w:b/>
          <w:bCs/>
          <w:color w:val="000000" w:themeColor="text1"/>
        </w:rPr>
      </w:pPr>
      <w:r>
        <w:rPr>
          <w:b/>
          <w:bCs/>
          <w:color w:val="000000" w:themeColor="text1"/>
        </w:rPr>
        <w:t>Group</w:t>
      </w:r>
      <w:r w:rsidR="006F6924">
        <w:rPr>
          <w:b/>
          <w:bCs/>
          <w:color w:val="000000" w:themeColor="text1"/>
        </w:rPr>
        <w:t xml:space="preserve"> 5</w:t>
      </w:r>
      <w:r>
        <w:rPr>
          <w:b/>
          <w:bCs/>
          <w:color w:val="000000" w:themeColor="text1"/>
        </w:rPr>
        <w:t xml:space="preserve"> Pediatric Reference Tool for Obsessive Compulsive Disorder</w:t>
      </w:r>
    </w:p>
    <w:p w14:paraId="442FD9AA" w14:textId="129D6E69" w:rsidR="00DB2640" w:rsidRPr="0072235E" w:rsidRDefault="00DB2640" w:rsidP="00DB2640">
      <w:pPr>
        <w:spacing w:line="480" w:lineRule="auto"/>
        <w:jc w:val="center"/>
        <w:rPr>
          <w:color w:val="000000" w:themeColor="text1"/>
        </w:rPr>
      </w:pPr>
      <w:r>
        <w:rPr>
          <w:color w:val="000000" w:themeColor="text1"/>
        </w:rPr>
        <w:t xml:space="preserve">Katarina </w:t>
      </w:r>
      <w:proofErr w:type="spellStart"/>
      <w:r>
        <w:rPr>
          <w:color w:val="000000" w:themeColor="text1"/>
        </w:rPr>
        <w:t>Robeniol</w:t>
      </w:r>
      <w:proofErr w:type="spellEnd"/>
      <w:r>
        <w:rPr>
          <w:color w:val="000000" w:themeColor="text1"/>
        </w:rPr>
        <w:t xml:space="preserve">, Brittany </w:t>
      </w:r>
      <w:proofErr w:type="spellStart"/>
      <w:r>
        <w:rPr>
          <w:color w:val="000000" w:themeColor="text1"/>
        </w:rPr>
        <w:t>Stackinski</w:t>
      </w:r>
      <w:proofErr w:type="spellEnd"/>
      <w:r>
        <w:rPr>
          <w:color w:val="000000" w:themeColor="text1"/>
        </w:rPr>
        <w:t xml:space="preserve">, Amber </w:t>
      </w:r>
      <w:proofErr w:type="spellStart"/>
      <w:r>
        <w:rPr>
          <w:color w:val="000000" w:themeColor="text1"/>
        </w:rPr>
        <w:t>Strub</w:t>
      </w:r>
      <w:proofErr w:type="spellEnd"/>
      <w:r>
        <w:rPr>
          <w:color w:val="000000" w:themeColor="text1"/>
        </w:rPr>
        <w:t>, and Alissa Wesson</w:t>
      </w:r>
    </w:p>
    <w:p w14:paraId="7ABE3089" w14:textId="77777777" w:rsidR="00DB2640" w:rsidRPr="0072235E" w:rsidRDefault="00DB2640" w:rsidP="00DB2640">
      <w:pPr>
        <w:spacing w:line="480" w:lineRule="auto"/>
        <w:jc w:val="center"/>
        <w:rPr>
          <w:color w:val="000000" w:themeColor="text1"/>
        </w:rPr>
      </w:pPr>
      <w:r w:rsidRPr="0072235E">
        <w:rPr>
          <w:color w:val="000000" w:themeColor="text1"/>
        </w:rPr>
        <w:t>School of Nursing, Regis College</w:t>
      </w:r>
    </w:p>
    <w:p w14:paraId="6D58F98B" w14:textId="77777777" w:rsidR="00DB2640" w:rsidRPr="0072235E" w:rsidRDefault="00DB2640" w:rsidP="00DB2640">
      <w:pPr>
        <w:spacing w:line="480" w:lineRule="auto"/>
        <w:jc w:val="center"/>
        <w:rPr>
          <w:color w:val="000000" w:themeColor="text1"/>
        </w:rPr>
      </w:pPr>
      <w:r w:rsidRPr="0072235E">
        <w:rPr>
          <w:color w:val="000000" w:themeColor="text1"/>
        </w:rPr>
        <w:t xml:space="preserve">NUR643: Advanced Psychopharmacology </w:t>
      </w:r>
    </w:p>
    <w:p w14:paraId="096A3A6B" w14:textId="77777777" w:rsidR="00DB2640" w:rsidRPr="0072235E" w:rsidRDefault="00DB2640" w:rsidP="00DB2640">
      <w:pPr>
        <w:spacing w:line="480" w:lineRule="auto"/>
        <w:jc w:val="center"/>
        <w:rPr>
          <w:color w:val="000000" w:themeColor="text1"/>
        </w:rPr>
      </w:pPr>
      <w:r>
        <w:rPr>
          <w:color w:val="000000" w:themeColor="text1"/>
        </w:rPr>
        <w:t xml:space="preserve">Dr. Monique </w:t>
      </w:r>
      <w:proofErr w:type="spellStart"/>
      <w:r>
        <w:rPr>
          <w:color w:val="000000" w:themeColor="text1"/>
        </w:rPr>
        <w:t>Fincannon</w:t>
      </w:r>
      <w:proofErr w:type="spellEnd"/>
    </w:p>
    <w:p w14:paraId="4B4FC428" w14:textId="1B184696" w:rsidR="00DA6EFD" w:rsidRDefault="006F6924" w:rsidP="00DB2640">
      <w:pPr>
        <w:spacing w:line="480" w:lineRule="auto"/>
        <w:jc w:val="center"/>
        <w:rPr>
          <w:color w:val="000000" w:themeColor="text1"/>
        </w:rPr>
      </w:pPr>
      <w:r>
        <w:rPr>
          <w:color w:val="000000" w:themeColor="text1"/>
        </w:rPr>
        <w:t>Ma</w:t>
      </w:r>
      <w:r w:rsidR="00075FD0">
        <w:rPr>
          <w:color w:val="000000" w:themeColor="text1"/>
        </w:rPr>
        <w:t>r</w:t>
      </w:r>
      <w:r>
        <w:rPr>
          <w:color w:val="000000" w:themeColor="text1"/>
        </w:rPr>
        <w:t>ch 5</w:t>
      </w:r>
      <w:r w:rsidR="00DB2640">
        <w:rPr>
          <w:color w:val="000000" w:themeColor="text1"/>
        </w:rPr>
        <w:t>, 202</w:t>
      </w:r>
      <w:r w:rsidR="00DA6EFD">
        <w:rPr>
          <w:color w:val="000000" w:themeColor="text1"/>
        </w:rPr>
        <w:t>3</w:t>
      </w:r>
    </w:p>
    <w:p w14:paraId="0C380337" w14:textId="63E00C6B" w:rsidR="006B42C9" w:rsidRPr="00DA6EFD" w:rsidRDefault="00DA6EFD" w:rsidP="006B42C9">
      <w:pPr>
        <w:rPr>
          <w:color w:val="000000" w:themeColor="text1"/>
        </w:rPr>
      </w:pPr>
      <w:r>
        <w:rPr>
          <w:color w:val="000000" w:themeColor="text1"/>
        </w:rPr>
        <w:br w:type="page"/>
      </w:r>
    </w:p>
    <w:tbl>
      <w:tblPr>
        <w:tblpPr w:leftFromText="180" w:rightFromText="180" w:vertAnchor="text" w:horzAnchor="margin" w:tblpXSpec="center" w:tblpY="-1439"/>
        <w:tblW w:w="1170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925"/>
        <w:gridCol w:w="3649"/>
        <w:gridCol w:w="3100"/>
        <w:gridCol w:w="3026"/>
      </w:tblGrid>
      <w:tr w:rsidR="006B42C9" w:rsidRPr="006B42C9" w14:paraId="25D5FBF1" w14:textId="77777777" w:rsidTr="00141866">
        <w:trPr>
          <w:trHeight w:val="942"/>
        </w:trPr>
        <w:tc>
          <w:tcPr>
            <w:tcW w:w="1925" w:type="dxa"/>
            <w:tcBorders>
              <w:top w:val="single" w:sz="6" w:space="0" w:color="000000"/>
              <w:left w:val="single" w:sz="6" w:space="0" w:color="000000"/>
              <w:bottom w:val="single" w:sz="6" w:space="0" w:color="000000"/>
              <w:right w:val="single" w:sz="6" w:space="0" w:color="000000"/>
            </w:tcBorders>
            <w:shd w:val="clear" w:color="auto" w:fill="FFFFFF"/>
            <w:hideMark/>
          </w:tcPr>
          <w:p w14:paraId="6A889880" w14:textId="78FE5900" w:rsidR="006B42C9" w:rsidRPr="006B42C9" w:rsidRDefault="006B42C9" w:rsidP="006B42C9"/>
        </w:tc>
        <w:tc>
          <w:tcPr>
            <w:tcW w:w="3649" w:type="dxa"/>
            <w:tcBorders>
              <w:top w:val="single" w:sz="6" w:space="0" w:color="000000"/>
              <w:left w:val="single" w:sz="6" w:space="0" w:color="000000"/>
              <w:bottom w:val="single" w:sz="6" w:space="0" w:color="000000"/>
              <w:right w:val="single" w:sz="6" w:space="0" w:color="000000"/>
            </w:tcBorders>
            <w:shd w:val="clear" w:color="auto" w:fill="FFFFFF"/>
            <w:hideMark/>
          </w:tcPr>
          <w:p w14:paraId="154F5F23" w14:textId="77777777" w:rsidR="006B42C9" w:rsidRPr="006B42C9" w:rsidRDefault="006B42C9" w:rsidP="006B42C9">
            <w:pPr>
              <w:rPr>
                <w:b/>
                <w:bCs/>
              </w:rPr>
            </w:pPr>
            <w:r w:rsidRPr="006B42C9">
              <w:rPr>
                <w:b/>
                <w:bCs/>
              </w:rPr>
              <w:t>Child </w:t>
            </w:r>
          </w:p>
          <w:p w14:paraId="21018620" w14:textId="77777777" w:rsidR="006B42C9" w:rsidRPr="006B42C9" w:rsidRDefault="006B42C9" w:rsidP="006B42C9">
            <w:r w:rsidRPr="006B42C9">
              <w:t> </w:t>
            </w:r>
          </w:p>
          <w:p w14:paraId="52834D3F" w14:textId="77777777" w:rsidR="006B42C9" w:rsidRPr="006B42C9" w:rsidRDefault="006B42C9" w:rsidP="006B42C9"/>
          <w:p w14:paraId="123738A4" w14:textId="77777777" w:rsidR="006B42C9" w:rsidRPr="006B42C9" w:rsidRDefault="006B42C9" w:rsidP="006B42C9"/>
        </w:tc>
        <w:tc>
          <w:tcPr>
            <w:tcW w:w="3100" w:type="dxa"/>
            <w:tcBorders>
              <w:top w:val="single" w:sz="6" w:space="0" w:color="000000"/>
              <w:left w:val="single" w:sz="6" w:space="0" w:color="000000"/>
              <w:bottom w:val="single" w:sz="6" w:space="0" w:color="000000"/>
              <w:right w:val="single" w:sz="6" w:space="0" w:color="000000"/>
            </w:tcBorders>
            <w:shd w:val="clear" w:color="auto" w:fill="FFFFFF"/>
            <w:hideMark/>
          </w:tcPr>
          <w:p w14:paraId="6B849B61" w14:textId="77777777" w:rsidR="006B42C9" w:rsidRPr="006B42C9" w:rsidRDefault="006B42C9" w:rsidP="006B42C9">
            <w:pPr>
              <w:rPr>
                <w:b/>
                <w:bCs/>
              </w:rPr>
            </w:pPr>
            <w:r w:rsidRPr="006B42C9">
              <w:rPr>
                <w:b/>
                <w:bCs/>
              </w:rPr>
              <w:t>Adolescent</w:t>
            </w:r>
          </w:p>
          <w:p w14:paraId="5949D418" w14:textId="0E8A4693" w:rsidR="006B42C9" w:rsidRPr="006B42C9" w:rsidRDefault="006B42C9" w:rsidP="006B42C9">
            <w:pPr>
              <w:rPr>
                <w:b/>
                <w:bCs/>
              </w:rPr>
            </w:pPr>
          </w:p>
        </w:tc>
        <w:tc>
          <w:tcPr>
            <w:tcW w:w="3026" w:type="dxa"/>
            <w:tcBorders>
              <w:top w:val="single" w:sz="6" w:space="0" w:color="000000"/>
              <w:left w:val="single" w:sz="6" w:space="0" w:color="000000"/>
              <w:bottom w:val="single" w:sz="6" w:space="0" w:color="000000"/>
              <w:right w:val="single" w:sz="6" w:space="0" w:color="000000"/>
            </w:tcBorders>
            <w:shd w:val="clear" w:color="auto" w:fill="FFFFFF"/>
            <w:hideMark/>
          </w:tcPr>
          <w:p w14:paraId="005A804D" w14:textId="77777777" w:rsidR="006B42C9" w:rsidRPr="006B42C9" w:rsidRDefault="006B42C9" w:rsidP="006B42C9">
            <w:pPr>
              <w:rPr>
                <w:b/>
                <w:bCs/>
              </w:rPr>
            </w:pPr>
            <w:r w:rsidRPr="006B42C9">
              <w:rPr>
                <w:b/>
                <w:bCs/>
              </w:rPr>
              <w:t>Notable differences from adults</w:t>
            </w:r>
          </w:p>
          <w:p w14:paraId="2AF8CCCF" w14:textId="77777777" w:rsidR="006B42C9" w:rsidRPr="006B42C9" w:rsidRDefault="006B42C9" w:rsidP="006B42C9">
            <w:r w:rsidRPr="006B42C9">
              <w:rPr>
                <w:b/>
                <w:bCs/>
              </w:rPr>
              <w:t>(</w:t>
            </w:r>
            <w:proofErr w:type="gramStart"/>
            <w:r w:rsidRPr="006B42C9">
              <w:rPr>
                <w:b/>
                <w:bCs/>
              </w:rPr>
              <w:t>if</w:t>
            </w:r>
            <w:proofErr w:type="gramEnd"/>
            <w:r w:rsidRPr="006B42C9">
              <w:rPr>
                <w:b/>
                <w:bCs/>
              </w:rPr>
              <w:t xml:space="preserve"> applicable)</w:t>
            </w:r>
          </w:p>
        </w:tc>
      </w:tr>
      <w:tr w:rsidR="00AD4E80" w:rsidRPr="006B42C9" w14:paraId="744560D9" w14:textId="77777777" w:rsidTr="00141866">
        <w:trPr>
          <w:trHeight w:val="50"/>
        </w:trPr>
        <w:tc>
          <w:tcPr>
            <w:tcW w:w="1925" w:type="dxa"/>
            <w:tcBorders>
              <w:top w:val="single" w:sz="6" w:space="0" w:color="000000"/>
              <w:left w:val="single" w:sz="6" w:space="0" w:color="000000"/>
              <w:bottom w:val="single" w:sz="6" w:space="0" w:color="000000"/>
              <w:right w:val="single" w:sz="6" w:space="0" w:color="000000"/>
            </w:tcBorders>
            <w:shd w:val="clear" w:color="auto" w:fill="FFFFFF"/>
          </w:tcPr>
          <w:p w14:paraId="1D2F0D24" w14:textId="77777777" w:rsidR="006B42C9" w:rsidRPr="006B42C9" w:rsidRDefault="006B42C9" w:rsidP="006B42C9">
            <w:r w:rsidRPr="006B42C9">
              <w:rPr>
                <w:b/>
                <w:bCs/>
              </w:rPr>
              <w:t xml:space="preserve">Description of OCD Disorder </w:t>
            </w:r>
          </w:p>
        </w:tc>
        <w:tc>
          <w:tcPr>
            <w:tcW w:w="3649" w:type="dxa"/>
            <w:tcBorders>
              <w:top w:val="single" w:sz="6" w:space="0" w:color="000000"/>
              <w:left w:val="single" w:sz="6" w:space="0" w:color="000000"/>
              <w:bottom w:val="single" w:sz="6" w:space="0" w:color="000000"/>
              <w:right w:val="single" w:sz="6" w:space="0" w:color="000000"/>
            </w:tcBorders>
            <w:shd w:val="clear" w:color="auto" w:fill="FFFFFF"/>
          </w:tcPr>
          <w:p w14:paraId="3117E796" w14:textId="77777777" w:rsidR="006B42C9" w:rsidRPr="006B42C9" w:rsidRDefault="006B42C9" w:rsidP="006B42C9">
            <w:pPr>
              <w:numPr>
                <w:ilvl w:val="0"/>
                <w:numId w:val="1"/>
              </w:numPr>
            </w:pPr>
            <w:r w:rsidRPr="006B42C9">
              <w:t>Obsession: A type of anxiety disorder that involves a child having recurrent or unwanted thoughts (Nazeer et al., 2020)</w:t>
            </w:r>
          </w:p>
          <w:p w14:paraId="7D1C203C" w14:textId="77777777" w:rsidR="006B42C9" w:rsidRPr="006B42C9" w:rsidRDefault="006B42C9" w:rsidP="006B42C9">
            <w:pPr>
              <w:numPr>
                <w:ilvl w:val="0"/>
                <w:numId w:val="1"/>
              </w:numPr>
            </w:pPr>
            <w:r w:rsidRPr="006B42C9">
              <w:t>Compulsion: time-consuming actions that cause severe distress or functional impairment</w:t>
            </w:r>
          </w:p>
          <w:p w14:paraId="3B0D8739" w14:textId="77777777" w:rsidR="006B42C9" w:rsidRPr="006B42C9" w:rsidRDefault="006B42C9" w:rsidP="006B42C9">
            <w:pPr>
              <w:numPr>
                <w:ilvl w:val="0"/>
                <w:numId w:val="1"/>
              </w:numPr>
            </w:pPr>
            <w:r w:rsidRPr="006B42C9">
              <w:t>The childhood-onset diagnosis is given if symptoms arise before puberty (</w:t>
            </w:r>
            <w:proofErr w:type="spellStart"/>
            <w:r w:rsidRPr="006B42C9">
              <w:t>Rajith</w:t>
            </w:r>
            <w:proofErr w:type="spellEnd"/>
            <w:r w:rsidRPr="006B42C9">
              <w:t xml:space="preserve"> &amp; Krishnakumar, 2022).</w:t>
            </w:r>
          </w:p>
          <w:p w14:paraId="11095F11" w14:textId="77777777" w:rsidR="006B42C9" w:rsidRPr="006B42C9" w:rsidRDefault="006B42C9" w:rsidP="006B42C9">
            <w:pPr>
              <w:numPr>
                <w:ilvl w:val="0"/>
                <w:numId w:val="1"/>
              </w:numPr>
            </w:pPr>
            <w:r w:rsidRPr="006B42C9">
              <w:t>The prevalence increases with age if a child is diagnosed with OCD before the age of 5.</w:t>
            </w:r>
          </w:p>
          <w:p w14:paraId="2F90BBFC" w14:textId="77777777" w:rsidR="006B42C9" w:rsidRPr="006B42C9" w:rsidRDefault="006B42C9" w:rsidP="006B42C9">
            <w:pPr>
              <w:numPr>
                <w:ilvl w:val="0"/>
                <w:numId w:val="1"/>
              </w:numPr>
            </w:pPr>
            <w:r w:rsidRPr="006B42C9">
              <w:t xml:space="preserve">The average age of onset for pediatric OCD is 10.3 (7.5-12.5; </w:t>
            </w:r>
            <w:proofErr w:type="spellStart"/>
            <w:r w:rsidRPr="006B42C9">
              <w:t>Brezinka</w:t>
            </w:r>
            <w:proofErr w:type="spellEnd"/>
            <w:r w:rsidRPr="006B42C9">
              <w:t xml:space="preserve"> et al., 2020)</w:t>
            </w:r>
          </w:p>
          <w:p w14:paraId="5E887DD9" w14:textId="77777777" w:rsidR="006B42C9" w:rsidRPr="006B42C9" w:rsidRDefault="006B42C9" w:rsidP="006B42C9">
            <w:pPr>
              <w:numPr>
                <w:ilvl w:val="0"/>
                <w:numId w:val="1"/>
              </w:numPr>
            </w:pPr>
            <w:r w:rsidRPr="006B42C9">
              <w:t>The most common categories for children are fear for themselves or a loved one getting sick and dying, breaking rules, and deserving punishment, checking/ rewriting/rereading, cleaning/handwashing (</w:t>
            </w:r>
            <w:proofErr w:type="spellStart"/>
            <w:r w:rsidRPr="006B42C9">
              <w:t>Rajith</w:t>
            </w:r>
            <w:proofErr w:type="spellEnd"/>
            <w:r w:rsidRPr="006B42C9">
              <w:t xml:space="preserve"> &amp; Krishnakumar, 2022).</w:t>
            </w:r>
          </w:p>
          <w:p w14:paraId="3550DCBA" w14:textId="77777777" w:rsidR="006B42C9" w:rsidRPr="006B42C9" w:rsidRDefault="006B42C9" w:rsidP="006B42C9"/>
          <w:p w14:paraId="7A309ED0" w14:textId="77777777" w:rsidR="006B42C9" w:rsidRPr="006B42C9" w:rsidRDefault="006B42C9" w:rsidP="006B42C9"/>
          <w:p w14:paraId="36498A33" w14:textId="77777777" w:rsidR="006B42C9" w:rsidRPr="006B42C9" w:rsidRDefault="006B42C9" w:rsidP="006B42C9"/>
        </w:tc>
        <w:tc>
          <w:tcPr>
            <w:tcW w:w="3100" w:type="dxa"/>
            <w:tcBorders>
              <w:top w:val="single" w:sz="6" w:space="0" w:color="000000"/>
              <w:left w:val="single" w:sz="6" w:space="0" w:color="000000"/>
              <w:bottom w:val="single" w:sz="6" w:space="0" w:color="000000"/>
              <w:right w:val="single" w:sz="6" w:space="0" w:color="000000"/>
            </w:tcBorders>
            <w:shd w:val="clear" w:color="auto" w:fill="FFFFFF"/>
          </w:tcPr>
          <w:p w14:paraId="3E478B16" w14:textId="77777777" w:rsidR="006B42C9" w:rsidRPr="006B42C9" w:rsidRDefault="006B42C9" w:rsidP="006B42C9">
            <w:pPr>
              <w:numPr>
                <w:ilvl w:val="0"/>
                <w:numId w:val="3"/>
              </w:numPr>
            </w:pPr>
            <w:r w:rsidRPr="006B42C9">
              <w:t>Same as children and adults, however early onset OCD has been associated with higher symptom severity and co-occurring tic disorders, ADHD, and anxiety disorders (American Psychiatric Association, 2013). Compulsions are also more easily diagnosed in youth than obsessions due to its observability.</w:t>
            </w:r>
          </w:p>
          <w:p w14:paraId="59AFAC8C" w14:textId="77777777" w:rsidR="006B42C9" w:rsidRPr="006B42C9" w:rsidRDefault="006B42C9" w:rsidP="006B42C9">
            <w:pPr>
              <w:numPr>
                <w:ilvl w:val="0"/>
                <w:numId w:val="3"/>
              </w:numPr>
            </w:pPr>
            <w:r w:rsidRPr="006B42C9">
              <w:t>Patterns of symptoms are more variable in younger age groups, and the content of obsession and compulsions are representative of their developmental stage. For example, there are increased rates of sexual and religious obsession for adolescents (APA, 2013). </w:t>
            </w:r>
          </w:p>
          <w:p w14:paraId="437B63BB" w14:textId="77777777" w:rsidR="006B42C9" w:rsidRPr="006B42C9" w:rsidRDefault="006B42C9" w:rsidP="006B42C9">
            <w:pPr>
              <w:numPr>
                <w:ilvl w:val="0"/>
                <w:numId w:val="3"/>
              </w:numPr>
            </w:pPr>
            <w:r w:rsidRPr="006B42C9">
              <w:t>If the disorder starts in adolescence, the individuals may experience some developmental difficulties such as avoiding socialization with their peers (APA, 2013).</w:t>
            </w:r>
          </w:p>
          <w:p w14:paraId="6FADD3D9" w14:textId="77777777" w:rsidR="006B42C9" w:rsidRPr="006B42C9" w:rsidRDefault="006B42C9" w:rsidP="006B42C9"/>
          <w:p w14:paraId="7AA520A4" w14:textId="77777777" w:rsidR="006B42C9" w:rsidRPr="006B42C9" w:rsidRDefault="006B42C9" w:rsidP="006B42C9"/>
          <w:p w14:paraId="2BE23AAD" w14:textId="77777777" w:rsidR="006B42C9" w:rsidRPr="006B42C9" w:rsidRDefault="006B42C9" w:rsidP="006B42C9"/>
          <w:p w14:paraId="20F1C582" w14:textId="77777777" w:rsidR="006B42C9" w:rsidRPr="006B42C9" w:rsidRDefault="006B42C9" w:rsidP="006B42C9"/>
          <w:p w14:paraId="7632CAB7" w14:textId="77777777" w:rsidR="006B42C9" w:rsidRPr="006B42C9" w:rsidRDefault="006B42C9" w:rsidP="006B42C9"/>
          <w:p w14:paraId="1597BB0E" w14:textId="77777777" w:rsidR="006B42C9" w:rsidRPr="006B42C9" w:rsidRDefault="006B42C9" w:rsidP="006B42C9"/>
          <w:p w14:paraId="78EFC334" w14:textId="77777777" w:rsidR="006B42C9" w:rsidRPr="006B42C9" w:rsidRDefault="006B42C9" w:rsidP="006B42C9"/>
          <w:p w14:paraId="212087CC" w14:textId="77777777" w:rsidR="006B42C9" w:rsidRPr="006B42C9" w:rsidRDefault="006B42C9" w:rsidP="006B42C9"/>
          <w:p w14:paraId="780651C8" w14:textId="77777777" w:rsidR="006B42C9" w:rsidRPr="006B42C9" w:rsidRDefault="006B42C9" w:rsidP="006B42C9"/>
          <w:p w14:paraId="257C5A19" w14:textId="77777777" w:rsidR="006B42C9" w:rsidRPr="006B42C9" w:rsidRDefault="006B42C9" w:rsidP="006B42C9"/>
          <w:p w14:paraId="2E992F0D" w14:textId="77777777" w:rsidR="006B42C9" w:rsidRPr="006B42C9" w:rsidRDefault="006B42C9" w:rsidP="006B42C9"/>
          <w:p w14:paraId="45AEC184" w14:textId="77777777" w:rsidR="006B42C9" w:rsidRPr="006B42C9" w:rsidRDefault="006B42C9" w:rsidP="006B42C9"/>
          <w:p w14:paraId="5C42BCD8" w14:textId="77777777" w:rsidR="006B42C9" w:rsidRPr="006B42C9" w:rsidRDefault="006B42C9" w:rsidP="006B42C9"/>
          <w:p w14:paraId="075386C9" w14:textId="77777777" w:rsidR="006B42C9" w:rsidRPr="006B42C9" w:rsidRDefault="006B42C9" w:rsidP="006B42C9"/>
          <w:p w14:paraId="2A66781B" w14:textId="77777777" w:rsidR="006B42C9" w:rsidRPr="006B42C9" w:rsidRDefault="006B42C9" w:rsidP="006B42C9"/>
          <w:p w14:paraId="381A684B" w14:textId="77777777" w:rsidR="006B42C9" w:rsidRPr="006B42C9" w:rsidRDefault="006B42C9" w:rsidP="006B42C9"/>
          <w:p w14:paraId="681FDFD5" w14:textId="77777777" w:rsidR="006B42C9" w:rsidRPr="006B42C9" w:rsidRDefault="006B42C9" w:rsidP="006B42C9"/>
          <w:p w14:paraId="29DADF5F" w14:textId="77777777" w:rsidR="006B42C9" w:rsidRPr="006B42C9" w:rsidRDefault="006B42C9" w:rsidP="006B42C9"/>
          <w:p w14:paraId="4CB8160E" w14:textId="77777777" w:rsidR="006B42C9" w:rsidRPr="006B42C9" w:rsidRDefault="006B42C9" w:rsidP="006B42C9"/>
        </w:tc>
        <w:tc>
          <w:tcPr>
            <w:tcW w:w="3026" w:type="dxa"/>
            <w:tcBorders>
              <w:top w:val="single" w:sz="6" w:space="0" w:color="000000"/>
              <w:left w:val="single" w:sz="6" w:space="0" w:color="000000"/>
              <w:bottom w:val="single" w:sz="6" w:space="0" w:color="000000"/>
              <w:right w:val="single" w:sz="6" w:space="0" w:color="000000"/>
            </w:tcBorders>
            <w:shd w:val="clear" w:color="auto" w:fill="FFFFFF"/>
          </w:tcPr>
          <w:p w14:paraId="4D32E90F" w14:textId="77777777" w:rsidR="006B42C9" w:rsidRPr="006B42C9" w:rsidRDefault="006B42C9" w:rsidP="006B42C9">
            <w:pPr>
              <w:numPr>
                <w:ilvl w:val="0"/>
                <w:numId w:val="5"/>
              </w:numPr>
            </w:pPr>
            <w:r w:rsidRPr="006B42C9">
              <w:lastRenderedPageBreak/>
              <w:t>Obsessive-compulsive disorder (OCD) is similar in both pediatric and adult populations (Nazeer et al., 2020). </w:t>
            </w:r>
          </w:p>
          <w:p w14:paraId="3523B35A" w14:textId="77777777" w:rsidR="006B42C9" w:rsidRPr="006B42C9" w:rsidRDefault="006B42C9" w:rsidP="006B42C9">
            <w:pPr>
              <w:numPr>
                <w:ilvl w:val="0"/>
                <w:numId w:val="5"/>
              </w:numPr>
            </w:pPr>
            <w:r w:rsidRPr="006B42C9">
              <w:t>Childhood-onset OCD occurs when symptoms of OCD are present before puberty (Nazeer et al., 2020). </w:t>
            </w:r>
          </w:p>
          <w:p w14:paraId="35A44170" w14:textId="77777777" w:rsidR="006B42C9" w:rsidRPr="006B42C9" w:rsidRDefault="006B42C9" w:rsidP="006B42C9">
            <w:pPr>
              <w:numPr>
                <w:ilvl w:val="0"/>
                <w:numId w:val="5"/>
              </w:numPr>
            </w:pPr>
            <w:r w:rsidRPr="006B42C9">
              <w:t>OCD can be diagnosed if there is presence of obsessions, compulsions, or both (American Psychiatric Association, 2013). </w:t>
            </w:r>
          </w:p>
          <w:p w14:paraId="796F32EF" w14:textId="77777777" w:rsidR="006B42C9" w:rsidRPr="006B42C9" w:rsidRDefault="006B42C9" w:rsidP="006B42C9">
            <w:pPr>
              <w:numPr>
                <w:ilvl w:val="0"/>
                <w:numId w:val="5"/>
              </w:numPr>
            </w:pPr>
            <w:r w:rsidRPr="006B42C9">
              <w:t>These obsessions and/or compulsions take more than one hour per day or can cause significant impairment to various areas of functioning (American Psychiatric Association, 2013). </w:t>
            </w:r>
          </w:p>
          <w:p w14:paraId="3A020571" w14:textId="77777777" w:rsidR="006B42C9" w:rsidRPr="006B42C9" w:rsidRDefault="006B42C9" w:rsidP="006B42C9">
            <w:pPr>
              <w:numPr>
                <w:ilvl w:val="0"/>
                <w:numId w:val="5"/>
              </w:numPr>
            </w:pPr>
            <w:r w:rsidRPr="006B42C9">
              <w:t>These symptoms are not related to substance use nor are they explained by another mental disorder (American Psychiatric Association, 2013). </w:t>
            </w:r>
          </w:p>
          <w:p w14:paraId="7A979B63" w14:textId="77777777" w:rsidR="006B42C9" w:rsidRPr="006B42C9" w:rsidRDefault="006B42C9" w:rsidP="006B42C9">
            <w:pPr>
              <w:numPr>
                <w:ilvl w:val="0"/>
                <w:numId w:val="5"/>
              </w:numPr>
            </w:pPr>
            <w:r w:rsidRPr="006B42C9">
              <w:t>The differences among the adult population and the pediatric population include sex ratio, common comorbidities, and symptom presentation (Nazeer et al., 2020).</w:t>
            </w:r>
          </w:p>
          <w:p w14:paraId="25310EEA" w14:textId="77777777" w:rsidR="006B42C9" w:rsidRPr="006B42C9" w:rsidRDefault="006B42C9" w:rsidP="006B42C9">
            <w:pPr>
              <w:numPr>
                <w:ilvl w:val="0"/>
                <w:numId w:val="5"/>
              </w:numPr>
            </w:pPr>
            <w:r w:rsidRPr="006B42C9">
              <w:t>Males have earlier onset than females, with 25 percent being before the age of ten (American Psychiatric Association, 2013). </w:t>
            </w:r>
          </w:p>
          <w:p w14:paraId="6615FADA" w14:textId="77777777" w:rsidR="006B42C9" w:rsidRPr="006B42C9" w:rsidRDefault="006B42C9" w:rsidP="006B42C9">
            <w:pPr>
              <w:numPr>
                <w:ilvl w:val="0"/>
                <w:numId w:val="5"/>
              </w:numPr>
            </w:pPr>
            <w:r w:rsidRPr="006B42C9">
              <w:lastRenderedPageBreak/>
              <w:t>Individuals who do not seek treatment as adults have a low remission rate, whereas childhood-onset OCD has a remission rate of 40 percent (APA, 2013). </w:t>
            </w:r>
          </w:p>
        </w:tc>
      </w:tr>
      <w:tr w:rsidR="00141866" w:rsidRPr="006B42C9" w14:paraId="51D8D73C" w14:textId="77777777" w:rsidTr="00141866">
        <w:trPr>
          <w:trHeight w:val="942"/>
        </w:trPr>
        <w:tc>
          <w:tcPr>
            <w:tcW w:w="1925" w:type="dxa"/>
            <w:tcBorders>
              <w:top w:val="single" w:sz="6" w:space="0" w:color="000000"/>
              <w:left w:val="single" w:sz="6" w:space="0" w:color="000000"/>
              <w:bottom w:val="single" w:sz="6" w:space="0" w:color="000000"/>
              <w:right w:val="single" w:sz="6" w:space="0" w:color="000000"/>
            </w:tcBorders>
            <w:shd w:val="clear" w:color="auto" w:fill="FFFFFF"/>
          </w:tcPr>
          <w:p w14:paraId="24A15500" w14:textId="5E6BE4D1" w:rsidR="006B42C9" w:rsidRPr="006B42C9" w:rsidRDefault="006B42C9" w:rsidP="00141866">
            <w:r w:rsidRPr="00141866">
              <w:rPr>
                <w:b/>
                <w:bCs/>
              </w:rPr>
              <w:lastRenderedPageBreak/>
              <w:t>Treatment Recommendations</w:t>
            </w:r>
          </w:p>
        </w:tc>
        <w:tc>
          <w:tcPr>
            <w:tcW w:w="3649" w:type="dxa"/>
            <w:tcBorders>
              <w:top w:val="single" w:sz="6" w:space="0" w:color="000000"/>
              <w:left w:val="single" w:sz="6" w:space="0" w:color="000000"/>
              <w:bottom w:val="single" w:sz="6" w:space="0" w:color="000000"/>
              <w:right w:val="single" w:sz="6" w:space="0" w:color="000000"/>
            </w:tcBorders>
            <w:shd w:val="clear" w:color="auto" w:fill="FFFFFF"/>
          </w:tcPr>
          <w:p w14:paraId="5C46B7B1" w14:textId="36D0871E" w:rsidR="006B42C9" w:rsidRDefault="006B42C9" w:rsidP="00141866">
            <w:pPr>
              <w:pStyle w:val="ListParagraph"/>
              <w:numPr>
                <w:ilvl w:val="0"/>
                <w:numId w:val="19"/>
              </w:numPr>
            </w:pPr>
            <w:r w:rsidRPr="006B42C9">
              <w:t>Early detection and treatment initiation are the key to preventing chronic functional impairment (</w:t>
            </w:r>
            <w:proofErr w:type="spellStart"/>
            <w:r w:rsidRPr="006B42C9">
              <w:t>Rajith</w:t>
            </w:r>
            <w:proofErr w:type="spellEnd"/>
            <w:r w:rsidRPr="006B42C9">
              <w:t xml:space="preserve"> &amp; Krishnakumar, 2022).</w:t>
            </w:r>
          </w:p>
          <w:p w14:paraId="78DC4E74" w14:textId="77777777" w:rsidR="00AD4E80" w:rsidRPr="006B42C9" w:rsidRDefault="00AD4E80" w:rsidP="00AD4E80"/>
          <w:p w14:paraId="2001E136" w14:textId="43250BCD" w:rsidR="006B42C9" w:rsidRDefault="006B42C9" w:rsidP="00141866">
            <w:pPr>
              <w:pStyle w:val="ListParagraph"/>
              <w:numPr>
                <w:ilvl w:val="0"/>
                <w:numId w:val="19"/>
              </w:numPr>
            </w:pPr>
            <w:r w:rsidRPr="006B42C9">
              <w:t>Cognitive behavioral therapy (CBT) + exposure w/ response prevention (ERP) is recommended as first-line prior to drug therapy (Nazeer et al., 2020)</w:t>
            </w:r>
          </w:p>
          <w:p w14:paraId="7F428AB7" w14:textId="77777777" w:rsidR="00AD4E80" w:rsidRPr="006B42C9" w:rsidRDefault="00AD4E80" w:rsidP="00AD4E80">
            <w:pPr>
              <w:ind w:left="360"/>
            </w:pPr>
          </w:p>
          <w:p w14:paraId="03299B47" w14:textId="77777777" w:rsidR="006B42C9" w:rsidRPr="006B42C9" w:rsidRDefault="006B42C9" w:rsidP="00141866">
            <w:pPr>
              <w:pStyle w:val="ListParagraph"/>
              <w:numPr>
                <w:ilvl w:val="0"/>
                <w:numId w:val="19"/>
              </w:numPr>
            </w:pPr>
            <w:r w:rsidRPr="006B42C9">
              <w:t>FDA-approved SSRIs include fluoxetine (Prozac) age 7+, sertraline (Zoloft) age 6+, fluvoxamine (Luvox) age 8+,</w:t>
            </w:r>
            <w:r w:rsidRPr="006B42C9">
              <w:t> </w:t>
            </w:r>
            <w:r w:rsidRPr="006B42C9">
              <w:t>and Clomipramine (Anafranil) age 10+* (Laux, 2021).</w:t>
            </w:r>
          </w:p>
          <w:p w14:paraId="79393C3B" w14:textId="77777777" w:rsidR="00AD4E80" w:rsidRDefault="00AD4E80" w:rsidP="00AD4E80"/>
          <w:p w14:paraId="6E36B148" w14:textId="623DD5A0" w:rsidR="006B42C9" w:rsidRPr="006B42C9" w:rsidRDefault="006B42C9" w:rsidP="00141866">
            <w:pPr>
              <w:pStyle w:val="ListParagraph"/>
              <w:numPr>
                <w:ilvl w:val="0"/>
                <w:numId w:val="19"/>
              </w:numPr>
            </w:pPr>
            <w:r w:rsidRPr="006B42C9">
              <w:t>Off-label OCD treatment - Escitalopram, citalopram, and paroxetine are not currently (Laux, 2021).</w:t>
            </w:r>
          </w:p>
          <w:p w14:paraId="433C03BB" w14:textId="77777777" w:rsidR="006B42C9" w:rsidRPr="006B42C9" w:rsidRDefault="006B42C9" w:rsidP="006B42C9"/>
          <w:p w14:paraId="7067EEFA" w14:textId="77777777" w:rsidR="006B42C9" w:rsidRPr="006B42C9" w:rsidRDefault="006B42C9" w:rsidP="006B42C9"/>
        </w:tc>
        <w:tc>
          <w:tcPr>
            <w:tcW w:w="3100" w:type="dxa"/>
            <w:tcBorders>
              <w:top w:val="single" w:sz="6" w:space="0" w:color="000000"/>
              <w:left w:val="single" w:sz="6" w:space="0" w:color="000000"/>
              <w:bottom w:val="single" w:sz="6" w:space="0" w:color="000000"/>
              <w:right w:val="single" w:sz="6" w:space="0" w:color="000000"/>
            </w:tcBorders>
            <w:shd w:val="clear" w:color="auto" w:fill="FFFFFF"/>
          </w:tcPr>
          <w:p w14:paraId="5E47E90D" w14:textId="615D657C" w:rsidR="006B42C9" w:rsidRDefault="006B42C9" w:rsidP="00141866">
            <w:pPr>
              <w:pStyle w:val="ListParagraph"/>
              <w:numPr>
                <w:ilvl w:val="0"/>
                <w:numId w:val="19"/>
              </w:numPr>
            </w:pPr>
            <w:r w:rsidRPr="006B42C9">
              <w:t>Children and adolescents with OCD who have not been successful with guided self-help should be offered CBT first, that includes family or caregivers (APA, 2010; National Institute for Health and Care Excellence, 2022)</w:t>
            </w:r>
            <w:r w:rsidR="00AD4E80">
              <w:t>.</w:t>
            </w:r>
          </w:p>
          <w:p w14:paraId="570B4354" w14:textId="77777777" w:rsidR="00AD4E80" w:rsidRPr="006B42C9" w:rsidRDefault="00AD4E80" w:rsidP="00AD4E80"/>
          <w:p w14:paraId="07C477DC" w14:textId="6622C9D3" w:rsidR="006B42C9" w:rsidRDefault="006B42C9" w:rsidP="00141866">
            <w:pPr>
              <w:pStyle w:val="ListParagraph"/>
              <w:numPr>
                <w:ilvl w:val="0"/>
                <w:numId w:val="19"/>
              </w:numPr>
            </w:pPr>
            <w:r w:rsidRPr="006B42C9">
              <w:t>In providing CBT attention should be given to developing and maintaining a good therapeutic alliance with the adolescent and their family. There should still be collaboration when determining treatment and goals for the adolescent, and engagement during the process (APA, 2010; NICE, 2022).</w:t>
            </w:r>
          </w:p>
          <w:p w14:paraId="5FA59B76" w14:textId="77777777" w:rsidR="006B42C9" w:rsidRPr="006B42C9" w:rsidRDefault="006B42C9" w:rsidP="00AD4E80"/>
          <w:p w14:paraId="6600D808" w14:textId="68DBE39E" w:rsidR="006B42C9" w:rsidRDefault="006B42C9" w:rsidP="00141866">
            <w:pPr>
              <w:pStyle w:val="ListParagraph"/>
              <w:numPr>
                <w:ilvl w:val="0"/>
                <w:numId w:val="19"/>
              </w:numPr>
            </w:pPr>
            <w:r w:rsidRPr="006B42C9">
              <w:t>Providers can also consider including rewards to increase motivation and behavior changes during treatment (NICE, 2022).</w:t>
            </w:r>
          </w:p>
          <w:p w14:paraId="56B81683" w14:textId="77777777" w:rsidR="006B42C9" w:rsidRPr="006B42C9" w:rsidRDefault="006B42C9" w:rsidP="00AD4E80"/>
          <w:p w14:paraId="3073C5C1" w14:textId="6F4491EE" w:rsidR="006B42C9" w:rsidRDefault="006B42C9" w:rsidP="00141866">
            <w:pPr>
              <w:pStyle w:val="ListParagraph"/>
              <w:numPr>
                <w:ilvl w:val="0"/>
                <w:numId w:val="19"/>
              </w:numPr>
            </w:pPr>
            <w:r w:rsidRPr="006B42C9">
              <w:t xml:space="preserve">If CBT has not been effective after 12 weeks </w:t>
            </w:r>
            <w:r w:rsidRPr="006B42C9">
              <w:lastRenderedPageBreak/>
              <w:t>of full trial, a multidisciplinary review should be carried out (NICE, 2022).</w:t>
            </w:r>
          </w:p>
          <w:p w14:paraId="349F3858" w14:textId="77777777" w:rsidR="00AD4E80" w:rsidRPr="006B42C9" w:rsidRDefault="00AD4E80" w:rsidP="00AD4E80"/>
          <w:p w14:paraId="64764471" w14:textId="08B9A416" w:rsidR="006B42C9" w:rsidRDefault="006B42C9" w:rsidP="00141866">
            <w:pPr>
              <w:pStyle w:val="ListParagraph"/>
              <w:numPr>
                <w:ilvl w:val="0"/>
                <w:numId w:val="19"/>
              </w:numPr>
            </w:pPr>
            <w:r w:rsidRPr="006B42C9">
              <w:t>Young persons aged 12 to 18 years with OCD and moderate to severe functional impairment can add SSRI to psychological treatment if CBT response is inadequate, same as the child population. It is important to monitor the patient carefully in the beginning of initiating SSRI treatment due to risk for suicidal thinking or behaviors. The only SSRIs licensed for use in adolescents in the US are sertraline, fluoxetine, fluvoxamine, and clomipramine* (APA, 2013). The starting dose should be low, and close monitoring should be made when gradually increasing if needed (NICE, 2022).</w:t>
            </w:r>
          </w:p>
          <w:p w14:paraId="54D88ADA" w14:textId="77777777" w:rsidR="00AD4E80" w:rsidRPr="006B42C9" w:rsidRDefault="00AD4E80" w:rsidP="00AD4E80"/>
          <w:p w14:paraId="282CA042" w14:textId="1253A324" w:rsidR="006B42C9" w:rsidRDefault="006B42C9" w:rsidP="00141866">
            <w:pPr>
              <w:pStyle w:val="ListParagraph"/>
              <w:numPr>
                <w:ilvl w:val="0"/>
                <w:numId w:val="19"/>
              </w:numPr>
            </w:pPr>
            <w:r w:rsidRPr="006B42C9">
              <w:t>If remission is achieved and maintained for a minimum of 6 months and they so desire, medication can be stopped. However, relapse or withdrawal symptoms may occur so doses should be tapered over several weeks (NICE, 2022).</w:t>
            </w:r>
          </w:p>
          <w:p w14:paraId="2DA65CAB" w14:textId="77777777" w:rsidR="006B42C9" w:rsidRPr="006B42C9" w:rsidRDefault="006B42C9" w:rsidP="00AD4E80"/>
          <w:p w14:paraId="530CCB75" w14:textId="77777777" w:rsidR="006B42C9" w:rsidRPr="006B42C9" w:rsidRDefault="006B42C9" w:rsidP="00141866">
            <w:pPr>
              <w:pStyle w:val="ListParagraph"/>
              <w:numPr>
                <w:ilvl w:val="0"/>
                <w:numId w:val="19"/>
              </w:numPr>
            </w:pPr>
            <w:r w:rsidRPr="006B42C9">
              <w:t>Assessment and treatment plans for adolescents should involve family members or caregivers. If the symptoms interfere with academic or workplace performance, it is also suggested to liaise with professionals from the organizations (teachers, school health advisors, educational psychologists, educational social workers) (NICE, 2022). </w:t>
            </w:r>
          </w:p>
          <w:p w14:paraId="2CE62C49" w14:textId="77777777" w:rsidR="006B42C9" w:rsidRPr="006B42C9" w:rsidRDefault="006B42C9" w:rsidP="006B42C9"/>
          <w:p w14:paraId="153DABC3" w14:textId="77777777" w:rsidR="006B42C9" w:rsidRPr="006B42C9" w:rsidRDefault="006B42C9" w:rsidP="006B42C9"/>
          <w:p w14:paraId="79F31700" w14:textId="77777777" w:rsidR="006B42C9" w:rsidRPr="006B42C9" w:rsidRDefault="006B42C9" w:rsidP="006B42C9"/>
        </w:tc>
        <w:tc>
          <w:tcPr>
            <w:tcW w:w="3026" w:type="dxa"/>
            <w:tcBorders>
              <w:top w:val="single" w:sz="6" w:space="0" w:color="000000"/>
              <w:left w:val="single" w:sz="6" w:space="0" w:color="000000"/>
              <w:bottom w:val="single" w:sz="6" w:space="0" w:color="000000"/>
              <w:right w:val="single" w:sz="6" w:space="0" w:color="000000"/>
            </w:tcBorders>
            <w:shd w:val="clear" w:color="auto" w:fill="FFFFFF"/>
          </w:tcPr>
          <w:p w14:paraId="7DC65FEB" w14:textId="77777777" w:rsidR="006B42C9" w:rsidRPr="006B42C9" w:rsidRDefault="006B42C9" w:rsidP="00141866">
            <w:pPr>
              <w:numPr>
                <w:ilvl w:val="0"/>
                <w:numId w:val="19"/>
              </w:numPr>
            </w:pPr>
            <w:r w:rsidRPr="006B42C9">
              <w:lastRenderedPageBreak/>
              <w:t>The most common first line treatment for OCD in the adult population includes SSRIs and cognitive behavioral therapy (CBT), and they may be used in combination or on their own (Stein et al., 2019). </w:t>
            </w:r>
          </w:p>
          <w:p w14:paraId="3E5AC391" w14:textId="77777777" w:rsidR="006B42C9" w:rsidRPr="006B42C9" w:rsidRDefault="006B42C9" w:rsidP="00141866">
            <w:pPr>
              <w:numPr>
                <w:ilvl w:val="0"/>
                <w:numId w:val="19"/>
              </w:numPr>
            </w:pPr>
            <w:r w:rsidRPr="006B42C9">
              <w:t>SSRIs are used both for adults and children as they are the most used class of antidepressants for both populations (Dwyer and Bloch, 2019).</w:t>
            </w:r>
          </w:p>
          <w:p w14:paraId="3B0D5BA1" w14:textId="77777777" w:rsidR="006B42C9" w:rsidRPr="006B42C9" w:rsidRDefault="006B42C9" w:rsidP="00141866">
            <w:pPr>
              <w:numPr>
                <w:ilvl w:val="0"/>
                <w:numId w:val="19"/>
              </w:numPr>
            </w:pPr>
            <w:r w:rsidRPr="006B42C9">
              <w:t>Common SSRIs which are utilized include clomipramine, fluoxetine, fluvoxamine, paroxetine, and sertraline (Stahl, 2021). </w:t>
            </w:r>
          </w:p>
          <w:p w14:paraId="0A81140C" w14:textId="0496511C" w:rsidR="006B42C9" w:rsidRDefault="006B42C9" w:rsidP="006B42C9"/>
          <w:p w14:paraId="15B25559" w14:textId="7580F751" w:rsidR="00766FE6" w:rsidRDefault="00766FE6" w:rsidP="006B42C9"/>
          <w:p w14:paraId="6F9CE345" w14:textId="70C7D037" w:rsidR="00766FE6" w:rsidRDefault="00766FE6" w:rsidP="006B42C9"/>
          <w:p w14:paraId="3C8BBB74" w14:textId="57A31327" w:rsidR="00766FE6" w:rsidRDefault="00766FE6" w:rsidP="006B42C9"/>
          <w:p w14:paraId="262299FC" w14:textId="187A11B8" w:rsidR="00766FE6" w:rsidRDefault="00766FE6" w:rsidP="006B42C9"/>
          <w:p w14:paraId="1E068A06" w14:textId="7BE9DB46" w:rsidR="00766FE6" w:rsidRDefault="00766FE6" w:rsidP="006B42C9"/>
          <w:p w14:paraId="558DF720" w14:textId="424E79A4" w:rsidR="00766FE6" w:rsidRDefault="00766FE6" w:rsidP="006B42C9"/>
          <w:p w14:paraId="579D5B73" w14:textId="4ACA2092" w:rsidR="00766FE6" w:rsidRDefault="00766FE6" w:rsidP="006B42C9"/>
          <w:p w14:paraId="47505A0E" w14:textId="709B9CD4" w:rsidR="00766FE6" w:rsidRDefault="00766FE6" w:rsidP="006B42C9"/>
          <w:p w14:paraId="1CDC77BD" w14:textId="50EA57EA" w:rsidR="00766FE6" w:rsidRDefault="00766FE6" w:rsidP="006B42C9"/>
          <w:p w14:paraId="493B8612" w14:textId="0B93471F" w:rsidR="00766FE6" w:rsidRDefault="00766FE6" w:rsidP="006B42C9"/>
          <w:p w14:paraId="2C1C16ED" w14:textId="4CA85172" w:rsidR="00766FE6" w:rsidRDefault="00766FE6" w:rsidP="006B42C9"/>
          <w:p w14:paraId="704969F6" w14:textId="4B73039E" w:rsidR="00766FE6" w:rsidRDefault="00766FE6" w:rsidP="006B42C9"/>
          <w:p w14:paraId="165EAAFA" w14:textId="48D205D9" w:rsidR="00766FE6" w:rsidRDefault="00766FE6" w:rsidP="006B42C9"/>
          <w:p w14:paraId="3C37252F" w14:textId="2A9A3D43" w:rsidR="00766FE6" w:rsidRDefault="00766FE6" w:rsidP="006B42C9"/>
          <w:p w14:paraId="7A2D0E3A" w14:textId="2D87AD93" w:rsidR="00766FE6" w:rsidRDefault="00766FE6" w:rsidP="006B42C9"/>
          <w:p w14:paraId="491AA676" w14:textId="1E70D057" w:rsidR="00766FE6" w:rsidRDefault="00766FE6" w:rsidP="006B42C9"/>
          <w:p w14:paraId="68F55A6B" w14:textId="279A9948" w:rsidR="00766FE6" w:rsidRDefault="00766FE6" w:rsidP="006B42C9"/>
          <w:p w14:paraId="70F733E6" w14:textId="568EE91A" w:rsidR="00766FE6" w:rsidRDefault="00766FE6" w:rsidP="006B42C9"/>
          <w:p w14:paraId="43916FAC" w14:textId="3D760289" w:rsidR="00766FE6" w:rsidRDefault="00766FE6" w:rsidP="006B42C9"/>
          <w:p w14:paraId="734C0E91" w14:textId="47D7D7D9" w:rsidR="00766FE6" w:rsidRDefault="00766FE6" w:rsidP="006B42C9"/>
          <w:p w14:paraId="3E806D62" w14:textId="5FF1225D" w:rsidR="00766FE6" w:rsidRDefault="00766FE6" w:rsidP="006B42C9"/>
          <w:p w14:paraId="40C03ADA" w14:textId="299E9AB5" w:rsidR="00766FE6" w:rsidRDefault="00766FE6" w:rsidP="006B42C9"/>
          <w:p w14:paraId="44A1DF9B" w14:textId="110C0C96" w:rsidR="00766FE6" w:rsidRDefault="00766FE6" w:rsidP="006B42C9"/>
          <w:p w14:paraId="164B90B7" w14:textId="6BFB7520" w:rsidR="00766FE6" w:rsidRDefault="00766FE6" w:rsidP="006B42C9"/>
          <w:p w14:paraId="28C932C1" w14:textId="49ACDFC4" w:rsidR="00766FE6" w:rsidRDefault="00766FE6" w:rsidP="006B42C9"/>
          <w:p w14:paraId="08115140" w14:textId="1B66BF12" w:rsidR="00766FE6" w:rsidRDefault="00766FE6" w:rsidP="006B42C9"/>
          <w:p w14:paraId="4FBCDF91" w14:textId="1BD9A933" w:rsidR="00766FE6" w:rsidRDefault="00766FE6" w:rsidP="006B42C9"/>
          <w:p w14:paraId="083CD61C" w14:textId="20EE95B7" w:rsidR="00766FE6" w:rsidRDefault="00766FE6" w:rsidP="006B42C9"/>
          <w:p w14:paraId="7BF24107" w14:textId="17B5A88D" w:rsidR="00766FE6" w:rsidRDefault="00766FE6" w:rsidP="006B42C9"/>
          <w:p w14:paraId="2F0FD834" w14:textId="0DE61876" w:rsidR="00766FE6" w:rsidRDefault="00766FE6" w:rsidP="006B42C9"/>
          <w:p w14:paraId="4F452AFA" w14:textId="2B8E96EF" w:rsidR="00766FE6" w:rsidRDefault="00766FE6" w:rsidP="006B42C9"/>
          <w:p w14:paraId="184107B3" w14:textId="11D10C56" w:rsidR="00766FE6" w:rsidRDefault="00766FE6" w:rsidP="006B42C9"/>
          <w:p w14:paraId="1BD2FC76" w14:textId="082BFDB5" w:rsidR="00766FE6" w:rsidRDefault="00766FE6" w:rsidP="006B42C9"/>
          <w:p w14:paraId="1AB0BD22" w14:textId="0954738F" w:rsidR="00766FE6" w:rsidRDefault="00766FE6" w:rsidP="006B42C9"/>
          <w:p w14:paraId="07E1DCE4" w14:textId="7EE3C32F" w:rsidR="00766FE6" w:rsidRDefault="00766FE6" w:rsidP="006B42C9"/>
          <w:p w14:paraId="02C3D04C" w14:textId="2D1AAE94" w:rsidR="00766FE6" w:rsidRDefault="00766FE6" w:rsidP="006B42C9"/>
          <w:p w14:paraId="73A83BBB" w14:textId="18086F38" w:rsidR="00766FE6" w:rsidRDefault="00766FE6" w:rsidP="006B42C9"/>
          <w:p w14:paraId="169F7B9B" w14:textId="7F55AEFD" w:rsidR="00766FE6" w:rsidRDefault="00766FE6" w:rsidP="006B42C9"/>
          <w:p w14:paraId="15271D45" w14:textId="189A8F33" w:rsidR="00766FE6" w:rsidRDefault="00766FE6" w:rsidP="006B42C9"/>
          <w:p w14:paraId="7C7454AA" w14:textId="15E1065B" w:rsidR="00766FE6" w:rsidRDefault="00766FE6" w:rsidP="006B42C9"/>
          <w:p w14:paraId="74BD89A0" w14:textId="2655C4A6" w:rsidR="00766FE6" w:rsidRDefault="00766FE6" w:rsidP="006B42C9"/>
          <w:p w14:paraId="4365E228" w14:textId="36A1E7CE" w:rsidR="00766FE6" w:rsidRDefault="00766FE6" w:rsidP="006B42C9"/>
          <w:p w14:paraId="7C46AA6A" w14:textId="3E04A9E1" w:rsidR="00766FE6" w:rsidRDefault="00766FE6" w:rsidP="006B42C9"/>
          <w:p w14:paraId="53F602DD" w14:textId="1FD8C83B" w:rsidR="00766FE6" w:rsidRDefault="00766FE6" w:rsidP="006B42C9"/>
          <w:p w14:paraId="5A864125" w14:textId="6B7E0DBE" w:rsidR="00766FE6" w:rsidRDefault="00766FE6" w:rsidP="006B42C9"/>
          <w:p w14:paraId="5DE2220A" w14:textId="4740C8C0" w:rsidR="00766FE6" w:rsidRDefault="00766FE6" w:rsidP="006B42C9"/>
          <w:p w14:paraId="1B6255E7" w14:textId="268644D4" w:rsidR="00766FE6" w:rsidRDefault="00766FE6" w:rsidP="006B42C9"/>
          <w:p w14:paraId="080B3E8E" w14:textId="326B7047" w:rsidR="00766FE6" w:rsidRDefault="00766FE6" w:rsidP="006B42C9"/>
          <w:p w14:paraId="5EBF3174" w14:textId="67D90AED" w:rsidR="00766FE6" w:rsidRDefault="00766FE6" w:rsidP="006B42C9"/>
          <w:p w14:paraId="0C85137F" w14:textId="6849AA1A" w:rsidR="00766FE6" w:rsidRDefault="00766FE6" w:rsidP="006B42C9"/>
          <w:p w14:paraId="6D0FA5C6" w14:textId="0C578037" w:rsidR="00766FE6" w:rsidRDefault="00766FE6" w:rsidP="006B42C9"/>
          <w:p w14:paraId="13DE6505" w14:textId="55D63CA5" w:rsidR="00766FE6" w:rsidRDefault="00766FE6" w:rsidP="006B42C9"/>
          <w:p w14:paraId="16E158E4" w14:textId="5E1BD939" w:rsidR="00766FE6" w:rsidRDefault="00766FE6" w:rsidP="006B42C9"/>
          <w:p w14:paraId="0C51C05C" w14:textId="77777777" w:rsidR="00766FE6" w:rsidRPr="006B42C9" w:rsidRDefault="00766FE6" w:rsidP="006B42C9"/>
          <w:p w14:paraId="14EABAB2" w14:textId="77777777" w:rsidR="006B42C9" w:rsidRPr="006B42C9" w:rsidRDefault="006B42C9" w:rsidP="006B42C9"/>
          <w:p w14:paraId="43F4E3A6" w14:textId="77777777" w:rsidR="006B42C9" w:rsidRDefault="006B42C9" w:rsidP="006B42C9"/>
          <w:p w14:paraId="14855286" w14:textId="77777777" w:rsidR="00141866" w:rsidRPr="00141866" w:rsidRDefault="00141866" w:rsidP="00141866"/>
          <w:p w14:paraId="0BB7BC26" w14:textId="77777777" w:rsidR="00141866" w:rsidRPr="00141866" w:rsidRDefault="00141866" w:rsidP="00141866"/>
          <w:p w14:paraId="4685A357" w14:textId="77777777" w:rsidR="00141866" w:rsidRPr="00141866" w:rsidRDefault="00141866" w:rsidP="00141866"/>
          <w:p w14:paraId="7089B870" w14:textId="77777777" w:rsidR="00141866" w:rsidRPr="00141866" w:rsidRDefault="00141866" w:rsidP="00141866"/>
          <w:p w14:paraId="0AF7B1DC" w14:textId="77777777" w:rsidR="00141866" w:rsidRPr="00141866" w:rsidRDefault="00141866" w:rsidP="00141866"/>
          <w:p w14:paraId="49E901FD" w14:textId="77777777" w:rsidR="00141866" w:rsidRPr="00141866" w:rsidRDefault="00141866" w:rsidP="00141866"/>
          <w:p w14:paraId="3ADF6359" w14:textId="77777777" w:rsidR="00141866" w:rsidRDefault="00141866" w:rsidP="00141866"/>
          <w:p w14:paraId="68C54B90" w14:textId="77777777" w:rsidR="00141866" w:rsidRDefault="00141866" w:rsidP="00141866">
            <w:pPr>
              <w:tabs>
                <w:tab w:val="left" w:pos="1905"/>
              </w:tabs>
            </w:pPr>
            <w:r>
              <w:tab/>
            </w:r>
          </w:p>
          <w:p w14:paraId="75FE2281" w14:textId="77777777" w:rsidR="00141866" w:rsidRDefault="00141866" w:rsidP="00141866">
            <w:pPr>
              <w:tabs>
                <w:tab w:val="left" w:pos="1905"/>
              </w:tabs>
            </w:pPr>
          </w:p>
          <w:p w14:paraId="64D26820" w14:textId="77777777" w:rsidR="00141866" w:rsidRDefault="00141866" w:rsidP="00141866">
            <w:pPr>
              <w:tabs>
                <w:tab w:val="left" w:pos="1905"/>
              </w:tabs>
            </w:pPr>
          </w:p>
          <w:p w14:paraId="2BFAA69D" w14:textId="77777777" w:rsidR="00141866" w:rsidRDefault="00141866" w:rsidP="00141866">
            <w:pPr>
              <w:tabs>
                <w:tab w:val="left" w:pos="1905"/>
              </w:tabs>
            </w:pPr>
          </w:p>
          <w:p w14:paraId="4890009F" w14:textId="77777777" w:rsidR="00141866" w:rsidRDefault="00141866" w:rsidP="00141866">
            <w:pPr>
              <w:tabs>
                <w:tab w:val="left" w:pos="1905"/>
              </w:tabs>
            </w:pPr>
          </w:p>
          <w:p w14:paraId="3165C7EE" w14:textId="77777777" w:rsidR="00141866" w:rsidRDefault="00141866" w:rsidP="00141866">
            <w:pPr>
              <w:tabs>
                <w:tab w:val="left" w:pos="1905"/>
              </w:tabs>
            </w:pPr>
          </w:p>
          <w:p w14:paraId="56A4888F" w14:textId="77777777" w:rsidR="00141866" w:rsidRDefault="00141866" w:rsidP="00141866">
            <w:pPr>
              <w:tabs>
                <w:tab w:val="left" w:pos="1905"/>
              </w:tabs>
            </w:pPr>
          </w:p>
          <w:p w14:paraId="05FEBBB4" w14:textId="77777777" w:rsidR="006F6924" w:rsidRDefault="006F6924" w:rsidP="00141866">
            <w:pPr>
              <w:tabs>
                <w:tab w:val="left" w:pos="1905"/>
              </w:tabs>
            </w:pPr>
          </w:p>
          <w:p w14:paraId="268E4C8D" w14:textId="77777777" w:rsidR="006F6924" w:rsidRDefault="006F6924" w:rsidP="00141866">
            <w:pPr>
              <w:tabs>
                <w:tab w:val="left" w:pos="1905"/>
              </w:tabs>
            </w:pPr>
          </w:p>
          <w:p w14:paraId="0759533E" w14:textId="77777777" w:rsidR="006F6924" w:rsidRDefault="006F6924" w:rsidP="00141866">
            <w:pPr>
              <w:tabs>
                <w:tab w:val="left" w:pos="1905"/>
              </w:tabs>
            </w:pPr>
          </w:p>
          <w:p w14:paraId="0C090A32" w14:textId="3C1B88BB" w:rsidR="006F6924" w:rsidRPr="006B42C9" w:rsidRDefault="006F6924" w:rsidP="00141866">
            <w:pPr>
              <w:tabs>
                <w:tab w:val="left" w:pos="1905"/>
              </w:tabs>
            </w:pPr>
          </w:p>
        </w:tc>
      </w:tr>
      <w:tr w:rsidR="006B42C9" w:rsidRPr="006B42C9" w14:paraId="4D65E978" w14:textId="77777777" w:rsidTr="00141866">
        <w:trPr>
          <w:trHeight w:val="780"/>
        </w:trPr>
        <w:tc>
          <w:tcPr>
            <w:tcW w:w="1925" w:type="dxa"/>
            <w:tcBorders>
              <w:top w:val="single" w:sz="6" w:space="0" w:color="000000"/>
              <w:left w:val="single" w:sz="6" w:space="0" w:color="000000"/>
              <w:bottom w:val="single" w:sz="6" w:space="0" w:color="000000"/>
              <w:right w:val="single" w:sz="6" w:space="0" w:color="000000"/>
            </w:tcBorders>
            <w:shd w:val="clear" w:color="auto" w:fill="FFFFFF"/>
            <w:hideMark/>
          </w:tcPr>
          <w:p w14:paraId="06C6060C" w14:textId="37C0AF1A" w:rsidR="006B42C9" w:rsidRPr="00141866" w:rsidRDefault="006B42C9" w:rsidP="00141866">
            <w:pPr>
              <w:rPr>
                <w:b/>
                <w:bCs/>
              </w:rPr>
            </w:pPr>
            <w:r w:rsidRPr="00141866">
              <w:rPr>
                <w:b/>
                <w:bCs/>
              </w:rPr>
              <w:lastRenderedPageBreak/>
              <w:t>OCD</w:t>
            </w:r>
          </w:p>
          <w:p w14:paraId="75E2A763" w14:textId="77777777" w:rsidR="006B42C9" w:rsidRPr="00141866" w:rsidRDefault="006B42C9" w:rsidP="00141866">
            <w:pPr>
              <w:rPr>
                <w:b/>
                <w:bCs/>
              </w:rPr>
            </w:pPr>
            <w:r w:rsidRPr="00141866">
              <w:rPr>
                <w:b/>
                <w:bCs/>
              </w:rPr>
              <w:t>Safety Issues</w:t>
            </w:r>
          </w:p>
          <w:p w14:paraId="133C878A" w14:textId="68EF3C71" w:rsidR="006B42C9" w:rsidRPr="006B42C9" w:rsidRDefault="006B42C9" w:rsidP="00141866">
            <w:pPr>
              <w:ind w:firstLine="60"/>
            </w:pPr>
          </w:p>
        </w:tc>
        <w:tc>
          <w:tcPr>
            <w:tcW w:w="3649" w:type="dxa"/>
            <w:tcBorders>
              <w:top w:val="single" w:sz="6" w:space="0" w:color="000000"/>
              <w:left w:val="single" w:sz="6" w:space="0" w:color="000000"/>
              <w:bottom w:val="single" w:sz="6" w:space="0" w:color="000000"/>
              <w:right w:val="single" w:sz="6" w:space="0" w:color="000000"/>
            </w:tcBorders>
            <w:shd w:val="clear" w:color="auto" w:fill="FFFFFF"/>
            <w:hideMark/>
          </w:tcPr>
          <w:p w14:paraId="1428754E" w14:textId="2B82B932" w:rsidR="006B42C9" w:rsidRPr="006B42C9" w:rsidRDefault="006B42C9" w:rsidP="00141866">
            <w:pPr>
              <w:pStyle w:val="ListParagraph"/>
              <w:numPr>
                <w:ilvl w:val="0"/>
                <w:numId w:val="19"/>
              </w:numPr>
            </w:pPr>
            <w:r w:rsidRPr="006B42C9">
              <w:t>Most crucial component of a safety for OCD no matter the age is the recognition of the early warning signs (Stein et al., 2019).</w:t>
            </w:r>
          </w:p>
          <w:p w14:paraId="6F28DF57" w14:textId="77777777" w:rsidR="006B42C9" w:rsidRPr="006B42C9" w:rsidRDefault="006B42C9" w:rsidP="006B42C9"/>
          <w:p w14:paraId="0E0CFAAE" w14:textId="6256803E" w:rsidR="006B42C9" w:rsidRPr="006B42C9" w:rsidRDefault="006B42C9" w:rsidP="00141866">
            <w:pPr>
              <w:pStyle w:val="ListParagraph"/>
              <w:numPr>
                <w:ilvl w:val="0"/>
                <w:numId w:val="19"/>
              </w:numPr>
            </w:pPr>
            <w:r w:rsidRPr="006B42C9">
              <w:t>Children might have difficulty in identifying or describing obsessions. most adults can recognize the presence of both obsessions and compulsions ​ (Stein et al., 2019). </w:t>
            </w:r>
          </w:p>
          <w:p w14:paraId="22F9923F" w14:textId="77777777" w:rsidR="006B42C9" w:rsidRPr="006B42C9" w:rsidRDefault="006B42C9" w:rsidP="006B42C9"/>
          <w:p w14:paraId="5B6C34BB" w14:textId="1C1164D8" w:rsidR="006B42C9" w:rsidRDefault="006B42C9" w:rsidP="00141866">
            <w:pPr>
              <w:pStyle w:val="ListParagraph"/>
              <w:numPr>
                <w:ilvl w:val="0"/>
                <w:numId w:val="19"/>
              </w:numPr>
            </w:pPr>
            <w:r w:rsidRPr="006B42C9">
              <w:t>Aggressive obsessions: Kids may be plagued by a lot of different kinds of thoughts about bad things they could do. “What if I hurt someone? What if I stab someone? What if I kill someone?” (</w:t>
            </w:r>
            <w:r w:rsidRPr="00141866">
              <w:rPr>
                <w:i/>
                <w:iCs/>
              </w:rPr>
              <w:t>Complete Guide to OCD</w:t>
            </w:r>
            <w:r w:rsidRPr="006B42C9">
              <w:t>, 2022).</w:t>
            </w:r>
            <w:r w:rsidRPr="006B42C9">
              <w:rPr>
                <w:noProof/>
              </w:rPr>
              <w:drawing>
                <wp:inline distT="0" distB="0" distL="0" distR="0" wp14:anchorId="59BA842C" wp14:editId="636D752F">
                  <wp:extent cx="142875" cy="142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B42C9">
              <w:t xml:space="preserve">​ </w:t>
            </w:r>
          </w:p>
          <w:p w14:paraId="4A5C5E66" w14:textId="77777777" w:rsidR="00766FE6" w:rsidRPr="006B42C9" w:rsidRDefault="00766FE6" w:rsidP="006B42C9"/>
          <w:p w14:paraId="612FCC76" w14:textId="68E95AE8" w:rsidR="006B42C9" w:rsidRDefault="006B42C9" w:rsidP="00141866">
            <w:pPr>
              <w:pStyle w:val="ListParagraph"/>
              <w:numPr>
                <w:ilvl w:val="0"/>
                <w:numId w:val="19"/>
              </w:numPr>
            </w:pPr>
            <w:r w:rsidRPr="006B42C9">
              <w:lastRenderedPageBreak/>
              <w:t>Children with OCD can sometimes manage to suppress their symptoms in certain situations, like at school, only to explode at home because of the tremendous effort​ (</w:t>
            </w:r>
            <w:r w:rsidRPr="00141866">
              <w:rPr>
                <w:i/>
                <w:iCs/>
              </w:rPr>
              <w:t>Complete Guide to OCD</w:t>
            </w:r>
            <w:r w:rsidRPr="006B42C9">
              <w:t>, 2022).</w:t>
            </w:r>
          </w:p>
          <w:p w14:paraId="57FD63C0" w14:textId="77777777" w:rsidR="00766FE6" w:rsidRPr="006B42C9" w:rsidRDefault="00766FE6" w:rsidP="006B42C9"/>
          <w:p w14:paraId="01C3C59B" w14:textId="0A292E7E" w:rsidR="006B42C9" w:rsidRDefault="006B42C9" w:rsidP="00141866">
            <w:pPr>
              <w:pStyle w:val="ListParagraph"/>
              <w:numPr>
                <w:ilvl w:val="0"/>
                <w:numId w:val="19"/>
              </w:numPr>
            </w:pPr>
            <w:r w:rsidRPr="006B42C9">
              <w:t>Safety plans may require changes as time continues or as the child grows, especially considering the age of OCD onset.</w:t>
            </w:r>
          </w:p>
          <w:p w14:paraId="2C5BCB3A" w14:textId="77777777" w:rsidR="00766FE6" w:rsidRPr="006B42C9" w:rsidRDefault="00766FE6" w:rsidP="006B42C9"/>
          <w:p w14:paraId="4E806CA7" w14:textId="312F99B9" w:rsidR="006B42C9" w:rsidRDefault="006B42C9" w:rsidP="00141866">
            <w:pPr>
              <w:pStyle w:val="ListParagraph"/>
              <w:numPr>
                <w:ilvl w:val="0"/>
                <w:numId w:val="19"/>
              </w:numPr>
            </w:pPr>
            <w:r w:rsidRPr="006B42C9">
              <w:t>Young children require family support to monitor and assess compulsive or intrusive thoughts or behaviors (Stahl, 2021).</w:t>
            </w:r>
          </w:p>
          <w:p w14:paraId="300BFCDD" w14:textId="77777777" w:rsidR="00766FE6" w:rsidRPr="006B42C9" w:rsidRDefault="00766FE6" w:rsidP="006B42C9"/>
          <w:p w14:paraId="2FD515FE" w14:textId="637C4352" w:rsidR="006B42C9" w:rsidRDefault="006B42C9" w:rsidP="00141866">
            <w:pPr>
              <w:pStyle w:val="ListParagraph"/>
              <w:numPr>
                <w:ilvl w:val="0"/>
                <w:numId w:val="19"/>
              </w:numPr>
            </w:pPr>
            <w:r w:rsidRPr="006B42C9">
              <w:t xml:space="preserve">Considering the use of SSRIs in OCD treatment, for safety purposes it is critical to monitor the patient carefully in the beginning of initiating SSRI treatment due to black box warning of risk for suicidal thinking or behaviors especially in children under the age of 18 (Stewart &amp; </w:t>
            </w:r>
            <w:proofErr w:type="spellStart"/>
            <w:r w:rsidRPr="006B42C9">
              <w:t>Westwell</w:t>
            </w:r>
            <w:proofErr w:type="spellEnd"/>
            <w:r w:rsidRPr="006B42C9">
              <w:t>-Roper, 2019).</w:t>
            </w:r>
          </w:p>
          <w:p w14:paraId="6D946316" w14:textId="77777777" w:rsidR="00141866" w:rsidRDefault="00141866" w:rsidP="00141866">
            <w:pPr>
              <w:pStyle w:val="ListParagraph"/>
            </w:pPr>
          </w:p>
          <w:p w14:paraId="7667221B" w14:textId="77777777" w:rsidR="00141866" w:rsidRPr="006B42C9" w:rsidRDefault="00141866" w:rsidP="00141866">
            <w:pPr>
              <w:pStyle w:val="ListParagraph"/>
            </w:pPr>
          </w:p>
          <w:p w14:paraId="1CB97B28" w14:textId="10A34AE1" w:rsidR="006B42C9" w:rsidRPr="006B42C9" w:rsidRDefault="00075FD0" w:rsidP="00141866">
            <w:pPr>
              <w:pStyle w:val="ListParagraph"/>
              <w:numPr>
                <w:ilvl w:val="0"/>
                <w:numId w:val="19"/>
              </w:numPr>
            </w:pPr>
            <w:r>
              <w:t>S</w:t>
            </w:r>
            <w:r w:rsidR="006B42C9" w:rsidRPr="006B42C9">
              <w:t xml:space="preserve">ide effects of SSRIs include abdominal discomfort, decreased appetite, sleep interference in the form of either insomnia or somnolence, and fatigue (De </w:t>
            </w:r>
            <w:proofErr w:type="spellStart"/>
            <w:r w:rsidR="006B42C9" w:rsidRPr="006B42C9">
              <w:t>Nadai</w:t>
            </w:r>
            <w:proofErr w:type="spellEnd"/>
            <w:r w:rsidR="006B42C9" w:rsidRPr="006B42C9">
              <w:t xml:space="preserve"> et al., 2011).</w:t>
            </w:r>
            <w:r w:rsidR="006B42C9" w:rsidRPr="006B42C9">
              <w:rPr>
                <w:noProof/>
              </w:rPr>
              <w:drawing>
                <wp:inline distT="0" distB="0" distL="0" distR="0" wp14:anchorId="793566CF" wp14:editId="10B61222">
                  <wp:extent cx="14287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1976064C" w14:textId="77777777" w:rsidR="006B42C9" w:rsidRDefault="006B42C9" w:rsidP="006B42C9"/>
          <w:p w14:paraId="39D7F95E" w14:textId="65E1909F" w:rsidR="00C4738E" w:rsidRPr="006B42C9" w:rsidRDefault="00C4738E" w:rsidP="006B42C9"/>
        </w:tc>
        <w:tc>
          <w:tcPr>
            <w:tcW w:w="3100" w:type="dxa"/>
            <w:tcBorders>
              <w:top w:val="single" w:sz="6" w:space="0" w:color="000000"/>
              <w:left w:val="single" w:sz="6" w:space="0" w:color="000000"/>
              <w:bottom w:val="single" w:sz="6" w:space="0" w:color="000000"/>
              <w:right w:val="single" w:sz="6" w:space="0" w:color="000000"/>
            </w:tcBorders>
            <w:shd w:val="clear" w:color="auto" w:fill="FFFFFF"/>
            <w:hideMark/>
          </w:tcPr>
          <w:p w14:paraId="2D865E18" w14:textId="1F865017" w:rsidR="006B42C9" w:rsidRPr="006B42C9" w:rsidRDefault="006B42C9" w:rsidP="00141866">
            <w:pPr>
              <w:pStyle w:val="ListParagraph"/>
              <w:numPr>
                <w:ilvl w:val="0"/>
                <w:numId w:val="19"/>
              </w:numPr>
            </w:pPr>
            <w:r w:rsidRPr="006B42C9">
              <w:lastRenderedPageBreak/>
              <w:t>Teens may engage in non-suicidal self-harm, such as cutting or burning themselves, or turn to alcohol or drugs if they’re having a tough time coping ​(</w:t>
            </w:r>
            <w:r w:rsidRPr="00141866">
              <w:rPr>
                <w:i/>
                <w:iCs/>
              </w:rPr>
              <w:t>Complete Guide to OCD</w:t>
            </w:r>
            <w:r w:rsidRPr="006B42C9">
              <w:t>, 2022).</w:t>
            </w:r>
            <w:r w:rsidRPr="006B42C9">
              <w:rPr>
                <w:noProof/>
              </w:rPr>
              <w:drawing>
                <wp:inline distT="0" distB="0" distL="0" distR="0" wp14:anchorId="33E24A70" wp14:editId="0B4E8B59">
                  <wp:extent cx="14287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B42C9">
              <w:t>​</w:t>
            </w:r>
          </w:p>
          <w:p w14:paraId="16D49B7C" w14:textId="77777777" w:rsidR="006B42C9" w:rsidRPr="006B42C9" w:rsidRDefault="006B42C9" w:rsidP="006B42C9"/>
          <w:p w14:paraId="755D9293" w14:textId="7EBB3AEC" w:rsidR="006B42C9" w:rsidRDefault="006B42C9" w:rsidP="00141866">
            <w:pPr>
              <w:pStyle w:val="ListParagraph"/>
              <w:numPr>
                <w:ilvl w:val="0"/>
                <w:numId w:val="19"/>
              </w:numPr>
            </w:pPr>
            <w:r w:rsidRPr="006B42C9">
              <w:t>Disturbing sexual thoughts, urges, or images (​</w:t>
            </w:r>
            <w:r w:rsidRPr="00141866">
              <w:rPr>
                <w:i/>
                <w:iCs/>
              </w:rPr>
              <w:t>Complete Guide to OCD</w:t>
            </w:r>
            <w:r w:rsidRPr="006B42C9">
              <w:t>, 2022).</w:t>
            </w:r>
          </w:p>
          <w:p w14:paraId="3738F08D" w14:textId="77777777" w:rsidR="00766FE6" w:rsidRPr="006B42C9" w:rsidRDefault="00766FE6" w:rsidP="006B42C9"/>
          <w:p w14:paraId="21CD09E4" w14:textId="1E712957" w:rsidR="006B42C9" w:rsidRDefault="006B42C9" w:rsidP="00141866">
            <w:pPr>
              <w:pStyle w:val="ListParagraph"/>
              <w:numPr>
                <w:ilvl w:val="0"/>
                <w:numId w:val="19"/>
              </w:numPr>
            </w:pPr>
            <w:r w:rsidRPr="006B42C9">
              <w:t xml:space="preserve">•Side effects from SSRIs do not differ much for adolescents compared to young children 18 (Stewart &amp; </w:t>
            </w:r>
            <w:proofErr w:type="spellStart"/>
            <w:r w:rsidRPr="006B42C9">
              <w:t>Westwell</w:t>
            </w:r>
            <w:proofErr w:type="spellEnd"/>
            <w:r w:rsidRPr="006B42C9">
              <w:t>-Roper, 2019).</w:t>
            </w:r>
          </w:p>
          <w:p w14:paraId="764BB975" w14:textId="77777777" w:rsidR="00766FE6" w:rsidRPr="006B42C9" w:rsidRDefault="00766FE6" w:rsidP="006B42C9"/>
          <w:p w14:paraId="5201264D" w14:textId="6FD07541" w:rsidR="006B42C9" w:rsidRPr="006B42C9" w:rsidRDefault="006B42C9" w:rsidP="00141866">
            <w:pPr>
              <w:pStyle w:val="ListParagraph"/>
              <w:numPr>
                <w:ilvl w:val="0"/>
                <w:numId w:val="19"/>
              </w:numPr>
            </w:pPr>
            <w:r w:rsidRPr="006B42C9">
              <w:t xml:space="preserve">Black box warning -Same as Child (Stewart </w:t>
            </w:r>
            <w:r w:rsidRPr="006B42C9">
              <w:lastRenderedPageBreak/>
              <w:t xml:space="preserve">&amp; </w:t>
            </w:r>
            <w:proofErr w:type="spellStart"/>
            <w:r w:rsidRPr="006B42C9">
              <w:t>Westwell</w:t>
            </w:r>
            <w:proofErr w:type="spellEnd"/>
            <w:r w:rsidRPr="006B42C9">
              <w:t>-Roper, 2019).</w:t>
            </w:r>
          </w:p>
          <w:p w14:paraId="112733D7" w14:textId="77777777" w:rsidR="006B42C9" w:rsidRPr="006B42C9" w:rsidRDefault="006B42C9" w:rsidP="006B42C9"/>
        </w:tc>
        <w:tc>
          <w:tcPr>
            <w:tcW w:w="3026" w:type="dxa"/>
            <w:tcBorders>
              <w:top w:val="single" w:sz="6" w:space="0" w:color="000000"/>
              <w:left w:val="single" w:sz="6" w:space="0" w:color="000000"/>
              <w:bottom w:val="single" w:sz="6" w:space="0" w:color="000000"/>
              <w:right w:val="single" w:sz="6" w:space="0" w:color="000000"/>
            </w:tcBorders>
            <w:shd w:val="clear" w:color="auto" w:fill="FFFFFF"/>
            <w:hideMark/>
          </w:tcPr>
          <w:p w14:paraId="27FC66BF" w14:textId="41EA1A18" w:rsidR="006B42C9" w:rsidRPr="006B42C9" w:rsidRDefault="006B42C9" w:rsidP="00141866">
            <w:pPr>
              <w:pStyle w:val="ListParagraph"/>
              <w:numPr>
                <w:ilvl w:val="0"/>
                <w:numId w:val="19"/>
              </w:numPr>
            </w:pPr>
            <w:r w:rsidRPr="006B42C9">
              <w:lastRenderedPageBreak/>
              <w:t>Most adults can recognize the presence of both obsessions and compulsions (Stein et al., 2019).</w:t>
            </w:r>
          </w:p>
          <w:p w14:paraId="1D182483" w14:textId="51B58E8B" w:rsidR="00766FE6" w:rsidRDefault="006B42C9" w:rsidP="00141866">
            <w:pPr>
              <w:pStyle w:val="ListParagraph"/>
              <w:numPr>
                <w:ilvl w:val="0"/>
                <w:numId w:val="19"/>
              </w:numPr>
            </w:pPr>
            <w:r w:rsidRPr="006B42C9">
              <w:t>Anger attacks in OCD are present in half of the children, adolescents, and adults, and they correlate with the presence of comorbid depression</w:t>
            </w:r>
            <w:r w:rsidR="00766FE6">
              <w:t xml:space="preserve"> </w:t>
            </w:r>
            <w:r w:rsidRPr="006B42C9">
              <w:t>​(</w:t>
            </w:r>
            <w:r w:rsidRPr="00141866">
              <w:rPr>
                <w:i/>
                <w:iCs/>
              </w:rPr>
              <w:t>Complete Guide to OCD</w:t>
            </w:r>
            <w:r w:rsidRPr="006B42C9">
              <w:t xml:space="preserve">, 2022). </w:t>
            </w:r>
          </w:p>
          <w:p w14:paraId="18FE643D" w14:textId="21D9016B" w:rsidR="006B42C9" w:rsidRPr="006B42C9" w:rsidRDefault="006B42C9" w:rsidP="006B42C9">
            <w:r w:rsidRPr="006B42C9">
              <w:fldChar w:fldCharType="begin"/>
            </w:r>
            <w:r w:rsidRPr="006B42C9">
              <w:instrText xml:space="preserve"> INCLUDEPICTURE "https://lh5.googleusercontent.com/_wo5cE8UdOjEGlVATWNfbsah0ilWv-YJTYkZrAYkX19joovXLHgwxdqwRCufm37j3Cfa2OUP4RZctzkeqOWftafuVEyrrx32_ruH9GDK1-cLcLMdR7vU0S-ID1zFKXFvoT6CHAaRUpydqLVOWjsRYZc" \* MERGEFORMATINET </w:instrText>
            </w:r>
            <w:r w:rsidR="00000000">
              <w:fldChar w:fldCharType="separate"/>
            </w:r>
            <w:r w:rsidRPr="006B42C9">
              <w:fldChar w:fldCharType="end"/>
            </w:r>
          </w:p>
          <w:p w14:paraId="57BA5E9B" w14:textId="4D61B8E8" w:rsidR="006F6924" w:rsidRDefault="006B42C9" w:rsidP="006B42C9">
            <w:pPr>
              <w:pStyle w:val="ListParagraph"/>
              <w:numPr>
                <w:ilvl w:val="0"/>
                <w:numId w:val="19"/>
              </w:numPr>
            </w:pPr>
            <w:r w:rsidRPr="006B42C9">
              <w:t xml:space="preserve">OCD management in adults requires SSRIs to be given at higher doses to improve outcomes of OCD treatment. </w:t>
            </w:r>
          </w:p>
          <w:p w14:paraId="72582A22" w14:textId="789C58B2" w:rsidR="006B42C9" w:rsidRPr="006B42C9" w:rsidRDefault="006B42C9" w:rsidP="00141866">
            <w:pPr>
              <w:pStyle w:val="ListParagraph"/>
              <w:numPr>
                <w:ilvl w:val="0"/>
                <w:numId w:val="19"/>
              </w:numPr>
            </w:pPr>
            <w:r w:rsidRPr="006B42C9">
              <w:t xml:space="preserve">The added benefit from higher doses of SSRIs, which is clear in adults, has not been </w:t>
            </w:r>
            <w:r w:rsidRPr="006B42C9">
              <w:lastRenderedPageBreak/>
              <w:t>demonstrated in the pediatric population (</w:t>
            </w:r>
            <w:proofErr w:type="spellStart"/>
            <w:r w:rsidRPr="006B42C9">
              <w:t>Pittenger</w:t>
            </w:r>
            <w:proofErr w:type="spellEnd"/>
            <w:r w:rsidRPr="006B42C9">
              <w:t xml:space="preserve"> &amp; Bloch, 2014).</w:t>
            </w:r>
          </w:p>
          <w:p w14:paraId="3B556079" w14:textId="77777777" w:rsidR="006B42C9" w:rsidRPr="006B42C9" w:rsidRDefault="006B42C9" w:rsidP="006B42C9"/>
          <w:p w14:paraId="5562E131" w14:textId="77777777" w:rsidR="006B42C9" w:rsidRPr="006B42C9" w:rsidRDefault="006B42C9" w:rsidP="006B42C9"/>
        </w:tc>
      </w:tr>
    </w:tbl>
    <w:p w14:paraId="18E17D9F" w14:textId="3F6A1F0E" w:rsidR="006B42C9" w:rsidRDefault="006B42C9"/>
    <w:p w14:paraId="436E80FC" w14:textId="43D18641" w:rsidR="006F6924" w:rsidRDefault="006F6924" w:rsidP="006F6924"/>
    <w:p w14:paraId="581838DD" w14:textId="77777777" w:rsidR="00263EF8" w:rsidRPr="006F6924" w:rsidRDefault="00263EF8" w:rsidP="006F6924"/>
    <w:p w14:paraId="29F8377A" w14:textId="06A04E75" w:rsidR="006B42C9" w:rsidRDefault="006B42C9"/>
    <w:p w14:paraId="02A93714" w14:textId="23D18DE7" w:rsidR="00C4738E" w:rsidRPr="00C4738E" w:rsidRDefault="00C4738E" w:rsidP="00601751">
      <w:pPr>
        <w:spacing w:line="480" w:lineRule="auto"/>
        <w:ind w:left="720" w:hanging="720"/>
        <w:jc w:val="center"/>
        <w:rPr>
          <w:rFonts w:ascii="Times" w:hAnsi="Times"/>
        </w:rPr>
      </w:pPr>
      <w:r w:rsidRPr="00C4738E">
        <w:rPr>
          <w:rFonts w:ascii="Times" w:hAnsi="Times"/>
          <w:b/>
          <w:bCs/>
        </w:rPr>
        <w:lastRenderedPageBreak/>
        <w:t>References</w:t>
      </w:r>
    </w:p>
    <w:p w14:paraId="5106B5F4" w14:textId="112A7C09" w:rsidR="00C4738E" w:rsidRPr="00C4738E" w:rsidRDefault="00C4738E" w:rsidP="00C4738E">
      <w:pPr>
        <w:spacing w:line="480" w:lineRule="auto"/>
        <w:ind w:left="720" w:hanging="720"/>
        <w:rPr>
          <w:rFonts w:ascii="Times" w:hAnsi="Times"/>
        </w:rPr>
      </w:pPr>
      <w:r w:rsidRPr="00C4738E">
        <w:rPr>
          <w:rFonts w:ascii="Times" w:hAnsi="Times"/>
          <w:color w:val="000000"/>
        </w:rPr>
        <w:t xml:space="preserve">American Psychiatric Association. (2013). </w:t>
      </w:r>
      <w:r w:rsidRPr="00C4738E">
        <w:rPr>
          <w:rFonts w:ascii="Times" w:hAnsi="Times"/>
          <w:i/>
          <w:iCs/>
          <w:color w:val="000000"/>
        </w:rPr>
        <w:t>Diagnostic and statistical manual of mental disorders</w:t>
      </w:r>
      <w:r w:rsidRPr="00C4738E">
        <w:rPr>
          <w:rFonts w:ascii="Times" w:hAnsi="Times"/>
          <w:color w:val="000000"/>
        </w:rPr>
        <w:t xml:space="preserve"> (5th ed.). Retrieved from </w:t>
      </w:r>
      <w:hyperlink r:id="rId9" w:history="1">
        <w:r w:rsidRPr="00C4738E">
          <w:rPr>
            <w:rStyle w:val="Hyperlink"/>
            <w:rFonts w:ascii="Times" w:hAnsi="Times"/>
            <w:color w:val="1155CC"/>
          </w:rPr>
          <w:t>https://doi.org/10.1176/appi.books.9780890425596</w:t>
        </w:r>
      </w:hyperlink>
    </w:p>
    <w:p w14:paraId="2B336E5A" w14:textId="7C5E13F8" w:rsidR="00C4738E" w:rsidRPr="00C4738E" w:rsidRDefault="00C4738E" w:rsidP="00C4738E">
      <w:pPr>
        <w:spacing w:line="480" w:lineRule="auto"/>
        <w:ind w:left="720" w:hanging="720"/>
        <w:rPr>
          <w:rFonts w:ascii="Times" w:hAnsi="Times"/>
        </w:rPr>
      </w:pPr>
      <w:r w:rsidRPr="00C4738E">
        <w:rPr>
          <w:rFonts w:ascii="Times" w:hAnsi="Times"/>
          <w:color w:val="333333"/>
          <w:shd w:val="clear" w:color="auto" w:fill="FFFFFF"/>
        </w:rPr>
        <w:t xml:space="preserve">American Psychiatric Association. (2010). </w:t>
      </w:r>
      <w:r w:rsidRPr="00C4738E">
        <w:rPr>
          <w:rFonts w:ascii="Times" w:hAnsi="Times"/>
          <w:i/>
          <w:iCs/>
          <w:color w:val="000000"/>
        </w:rPr>
        <w:t>Practice guideline for the treatment of patients with obsessive compulsive disorder</w:t>
      </w:r>
      <w:r w:rsidRPr="00C4738E">
        <w:rPr>
          <w:rFonts w:ascii="Times" w:hAnsi="Times"/>
          <w:color w:val="000000"/>
        </w:rPr>
        <w:t xml:space="preserve"> (3rd ed.). Retrieved from https://psychiatryonline.org/pb/assets/raw/sitewide/practice_guidelines/guidelines/ocd.p</w:t>
      </w:r>
      <w:r>
        <w:rPr>
          <w:rFonts w:ascii="Times" w:hAnsi="Times"/>
          <w:color w:val="000000"/>
        </w:rPr>
        <w:t>d</w:t>
      </w:r>
      <w:r w:rsidRPr="00C4738E">
        <w:rPr>
          <w:rFonts w:ascii="Times" w:hAnsi="Times"/>
          <w:color w:val="000000"/>
        </w:rPr>
        <w:t>f</w:t>
      </w:r>
    </w:p>
    <w:p w14:paraId="12157175" w14:textId="3E0DD4B8" w:rsidR="00C4738E" w:rsidRPr="00C4738E" w:rsidRDefault="00C4738E" w:rsidP="00C4738E">
      <w:pPr>
        <w:spacing w:line="480" w:lineRule="auto"/>
        <w:ind w:left="720" w:hanging="720"/>
        <w:rPr>
          <w:rFonts w:ascii="Times" w:hAnsi="Times"/>
          <w:color w:val="000000"/>
        </w:rPr>
      </w:pPr>
      <w:proofErr w:type="spellStart"/>
      <w:r w:rsidRPr="00C4738E">
        <w:rPr>
          <w:rFonts w:ascii="Times" w:hAnsi="Times"/>
          <w:color w:val="000000"/>
        </w:rPr>
        <w:t>Brezinka</w:t>
      </w:r>
      <w:proofErr w:type="spellEnd"/>
      <w:r w:rsidRPr="00C4738E">
        <w:rPr>
          <w:rFonts w:ascii="Times" w:hAnsi="Times"/>
          <w:color w:val="000000"/>
        </w:rPr>
        <w:t xml:space="preserve">, V., </w:t>
      </w:r>
      <w:proofErr w:type="spellStart"/>
      <w:r w:rsidRPr="00C4738E">
        <w:rPr>
          <w:rFonts w:ascii="Times" w:hAnsi="Times"/>
          <w:color w:val="000000"/>
        </w:rPr>
        <w:t>Mailänder</w:t>
      </w:r>
      <w:proofErr w:type="spellEnd"/>
      <w:r w:rsidRPr="00C4738E">
        <w:rPr>
          <w:rFonts w:ascii="Times" w:hAnsi="Times"/>
          <w:color w:val="000000"/>
        </w:rPr>
        <w:t xml:space="preserve">, V., &amp; </w:t>
      </w:r>
      <w:proofErr w:type="spellStart"/>
      <w:r w:rsidRPr="00C4738E">
        <w:rPr>
          <w:rFonts w:ascii="Times" w:hAnsi="Times"/>
          <w:color w:val="000000"/>
        </w:rPr>
        <w:t>Walitza</w:t>
      </w:r>
      <w:proofErr w:type="spellEnd"/>
      <w:r w:rsidRPr="00C4738E">
        <w:rPr>
          <w:rFonts w:ascii="Times" w:hAnsi="Times"/>
          <w:color w:val="000000"/>
        </w:rPr>
        <w:t xml:space="preserve">, S. (2020). Obsessive-compulsive disorder in very young children–a case series from a specialized outpatient clinic. </w:t>
      </w:r>
      <w:r w:rsidRPr="00C4738E">
        <w:rPr>
          <w:rFonts w:ascii="Times" w:hAnsi="Times"/>
          <w:i/>
          <w:iCs/>
          <w:color w:val="000000"/>
        </w:rPr>
        <w:t>Biomedical Central Psychiatry, 20</w:t>
      </w:r>
      <w:r w:rsidRPr="00C4738E">
        <w:rPr>
          <w:rFonts w:ascii="Times" w:hAnsi="Times"/>
          <w:color w:val="000000"/>
        </w:rPr>
        <w:t>(1), 1-8.</w:t>
      </w:r>
    </w:p>
    <w:p w14:paraId="7F4BC612" w14:textId="345CDE0F" w:rsidR="00C4738E" w:rsidRPr="00C4738E" w:rsidRDefault="00C4738E" w:rsidP="00C4738E">
      <w:pPr>
        <w:spacing w:line="480" w:lineRule="auto"/>
        <w:ind w:left="720" w:hanging="720"/>
        <w:rPr>
          <w:rFonts w:ascii="Times" w:hAnsi="Times"/>
          <w:color w:val="000000"/>
        </w:rPr>
      </w:pPr>
      <w:r w:rsidRPr="00C4738E">
        <w:rPr>
          <w:rFonts w:ascii="Times" w:hAnsi="Times"/>
          <w:color w:val="000000"/>
        </w:rPr>
        <w:t>Complete Guide to OCD. (2022, October 19</w:t>
      </w:r>
      <w:r w:rsidR="008B69FC">
        <w:rPr>
          <w:rFonts w:ascii="Times" w:hAnsi="Times"/>
          <w:color w:val="000000"/>
        </w:rPr>
        <w:t>)</w:t>
      </w:r>
      <w:r w:rsidRPr="00C4738E">
        <w:rPr>
          <w:rFonts w:ascii="Times" w:hAnsi="Times"/>
          <w:color w:val="000000"/>
        </w:rPr>
        <w:t>. Child Mind Institute. Retrieved February 17, 2023</w:t>
      </w:r>
      <w:r>
        <w:rPr>
          <w:rFonts w:ascii="Times" w:hAnsi="Times"/>
          <w:color w:val="000000"/>
        </w:rPr>
        <w:t>,</w:t>
      </w:r>
      <w:r w:rsidRPr="00C4738E">
        <w:rPr>
          <w:rFonts w:ascii="Times" w:hAnsi="Times"/>
          <w:color w:val="000000"/>
        </w:rPr>
        <w:t xml:space="preserve"> from https://childmind.org/guide/parents-guide-to-ocd/</w:t>
      </w:r>
    </w:p>
    <w:p w14:paraId="53D263D1" w14:textId="3520F39D" w:rsidR="00C4738E" w:rsidRPr="00C4738E" w:rsidRDefault="00C4738E" w:rsidP="00C4738E">
      <w:pPr>
        <w:spacing w:line="480" w:lineRule="auto"/>
        <w:ind w:left="720" w:hanging="720"/>
        <w:rPr>
          <w:rFonts w:ascii="Times" w:hAnsi="Times"/>
        </w:rPr>
      </w:pPr>
      <w:r w:rsidRPr="00C4738E">
        <w:rPr>
          <w:rFonts w:ascii="Times" w:hAnsi="Times"/>
        </w:rPr>
        <w:t xml:space="preserve">De </w:t>
      </w:r>
      <w:proofErr w:type="spellStart"/>
      <w:r w:rsidRPr="00C4738E">
        <w:rPr>
          <w:rFonts w:ascii="Times" w:hAnsi="Times"/>
        </w:rPr>
        <w:t>Nadai</w:t>
      </w:r>
      <w:proofErr w:type="spellEnd"/>
      <w:r w:rsidRPr="00C4738E">
        <w:rPr>
          <w:rFonts w:ascii="Times" w:hAnsi="Times"/>
        </w:rPr>
        <w:t xml:space="preserve">, A. S., Storch, E. A., </w:t>
      </w:r>
      <w:proofErr w:type="spellStart"/>
      <w:r w:rsidRPr="00C4738E">
        <w:rPr>
          <w:rFonts w:ascii="Times" w:hAnsi="Times"/>
        </w:rPr>
        <w:t>Mcguire</w:t>
      </w:r>
      <w:proofErr w:type="spellEnd"/>
      <w:r w:rsidRPr="00C4738E">
        <w:rPr>
          <w:rFonts w:ascii="Times" w:hAnsi="Times"/>
        </w:rPr>
        <w:t xml:space="preserve">, J. F., Lewin, A. B., &amp; Murphy, T. K. (2011). Evidence based pharmacotherapy for pediatric obsessive-compulsive disorder and chronic tic disorders. </w:t>
      </w:r>
      <w:r w:rsidRPr="008B69FC">
        <w:rPr>
          <w:rFonts w:ascii="Times" w:hAnsi="Times"/>
          <w:i/>
          <w:iCs/>
        </w:rPr>
        <w:t>Journal of Central Nervous System Disease, 3.</w:t>
      </w:r>
      <w:r w:rsidRPr="00C4738E">
        <w:rPr>
          <w:rFonts w:ascii="Times" w:hAnsi="Times"/>
        </w:rPr>
        <w:t xml:space="preserve"> https://doi.org/10.4137/jcnsd.s6616</w:t>
      </w:r>
    </w:p>
    <w:p w14:paraId="7FD96DC3" w14:textId="77777777" w:rsidR="00C4738E" w:rsidRPr="00C4738E" w:rsidRDefault="00C4738E" w:rsidP="00C4738E">
      <w:pPr>
        <w:pStyle w:val="NormalWeb"/>
        <w:spacing w:before="0" w:beforeAutospacing="0" w:after="0" w:afterAutospacing="0" w:line="480" w:lineRule="auto"/>
        <w:ind w:left="720" w:hanging="720"/>
        <w:rPr>
          <w:rFonts w:ascii="Times" w:hAnsi="Times"/>
        </w:rPr>
      </w:pPr>
      <w:r w:rsidRPr="00C4738E">
        <w:rPr>
          <w:rFonts w:ascii="Times" w:hAnsi="Times"/>
          <w:color w:val="212121"/>
          <w:shd w:val="clear" w:color="auto" w:fill="FFFFFF"/>
        </w:rPr>
        <w:t xml:space="preserve">Dwyer, J. B., &amp; Bloch, M. H. (2019). Antidepressants for pediatric patients. </w:t>
      </w:r>
      <w:r w:rsidRPr="00C4738E">
        <w:rPr>
          <w:rFonts w:ascii="Times" w:hAnsi="Times"/>
          <w:i/>
          <w:iCs/>
          <w:color w:val="212121"/>
          <w:shd w:val="clear" w:color="auto" w:fill="FFFFFF"/>
        </w:rPr>
        <w:t>Current Psychiatry</w:t>
      </w:r>
      <w:r w:rsidRPr="00C4738E">
        <w:rPr>
          <w:rFonts w:ascii="Times" w:hAnsi="Times"/>
          <w:color w:val="212121"/>
          <w:shd w:val="clear" w:color="auto" w:fill="FFFFFF"/>
        </w:rPr>
        <w:t xml:space="preserve">, </w:t>
      </w:r>
      <w:r w:rsidRPr="00C4738E">
        <w:rPr>
          <w:rFonts w:ascii="Times" w:hAnsi="Times"/>
          <w:i/>
          <w:iCs/>
          <w:color w:val="212121"/>
          <w:shd w:val="clear" w:color="auto" w:fill="FFFFFF"/>
        </w:rPr>
        <w:t>18</w:t>
      </w:r>
      <w:r w:rsidRPr="00C4738E">
        <w:rPr>
          <w:rFonts w:ascii="Times" w:hAnsi="Times"/>
          <w:color w:val="212121"/>
          <w:shd w:val="clear" w:color="auto" w:fill="FFFFFF"/>
        </w:rPr>
        <w:t>(9), 26–42F.</w:t>
      </w:r>
    </w:p>
    <w:p w14:paraId="036A27C9" w14:textId="77777777" w:rsidR="00C4738E" w:rsidRPr="00C4738E" w:rsidRDefault="00C4738E" w:rsidP="00C4738E">
      <w:pPr>
        <w:spacing w:line="480" w:lineRule="auto"/>
        <w:ind w:left="720" w:hanging="720"/>
        <w:rPr>
          <w:rFonts w:ascii="Times" w:hAnsi="Times"/>
        </w:rPr>
      </w:pPr>
      <w:r w:rsidRPr="00C4738E">
        <w:rPr>
          <w:rFonts w:ascii="Times" w:hAnsi="Times"/>
        </w:rPr>
        <w:t xml:space="preserve">Kahn, L., Sutton, B., Winston, H. R., </w:t>
      </w:r>
      <w:proofErr w:type="spellStart"/>
      <w:r w:rsidRPr="00C4738E">
        <w:rPr>
          <w:rFonts w:ascii="Times" w:hAnsi="Times"/>
        </w:rPr>
        <w:t>Abosch</w:t>
      </w:r>
      <w:proofErr w:type="spellEnd"/>
      <w:r w:rsidRPr="00C4738E">
        <w:rPr>
          <w:rFonts w:ascii="Times" w:hAnsi="Times"/>
        </w:rPr>
        <w:t xml:space="preserve">, A., Thompson, J. A., &amp; Davis, R. A. (2021). Deep </w:t>
      </w:r>
    </w:p>
    <w:p w14:paraId="1A84FF4C" w14:textId="775214CB" w:rsidR="00C4738E" w:rsidRPr="00C4738E" w:rsidRDefault="00C4738E" w:rsidP="00C4738E">
      <w:pPr>
        <w:spacing w:line="480" w:lineRule="auto"/>
        <w:ind w:left="720" w:hanging="720"/>
        <w:rPr>
          <w:rFonts w:ascii="Times" w:hAnsi="Times"/>
        </w:rPr>
      </w:pPr>
      <w:r>
        <w:rPr>
          <w:rFonts w:ascii="Times" w:hAnsi="Times"/>
        </w:rPr>
        <w:tab/>
      </w:r>
      <w:r w:rsidRPr="00C4738E">
        <w:rPr>
          <w:rFonts w:ascii="Times" w:hAnsi="Times"/>
        </w:rPr>
        <w:t xml:space="preserve">brain stimulation for obsessive-compulsive disorder: Real world experience </w:t>
      </w:r>
    </w:p>
    <w:p w14:paraId="7B42BFB4" w14:textId="22F4ADA1" w:rsidR="00C4738E" w:rsidRPr="00C4738E" w:rsidRDefault="00C4738E" w:rsidP="00C4738E">
      <w:pPr>
        <w:spacing w:line="480" w:lineRule="auto"/>
        <w:ind w:left="720" w:hanging="720"/>
        <w:rPr>
          <w:rFonts w:ascii="Times" w:hAnsi="Times"/>
        </w:rPr>
      </w:pPr>
      <w:r>
        <w:rPr>
          <w:rFonts w:ascii="Times" w:hAnsi="Times"/>
        </w:rPr>
        <w:tab/>
      </w:r>
      <w:r w:rsidRPr="00C4738E">
        <w:rPr>
          <w:rFonts w:ascii="Times" w:hAnsi="Times"/>
        </w:rPr>
        <w:t>post-</w:t>
      </w:r>
      <w:proofErr w:type="spellStart"/>
      <w:r w:rsidRPr="00C4738E">
        <w:rPr>
          <w:rFonts w:ascii="Times" w:hAnsi="Times"/>
        </w:rPr>
        <w:t>fda</w:t>
      </w:r>
      <w:proofErr w:type="spellEnd"/>
      <w:r w:rsidRPr="00C4738E">
        <w:rPr>
          <w:rFonts w:ascii="Times" w:hAnsi="Times"/>
        </w:rPr>
        <w:t>-humanitarian use device approval</w:t>
      </w:r>
      <w:r w:rsidRPr="00C4738E">
        <w:rPr>
          <w:rFonts w:ascii="Times" w:hAnsi="Times"/>
          <w:i/>
          <w:iCs/>
        </w:rPr>
        <w:t>. Frontiers in Psychiatry, 12.</w:t>
      </w:r>
      <w:r w:rsidRPr="00C4738E">
        <w:rPr>
          <w:rFonts w:ascii="Times" w:hAnsi="Times"/>
        </w:rPr>
        <w:t xml:space="preserve"> </w:t>
      </w:r>
    </w:p>
    <w:p w14:paraId="45821354" w14:textId="1FB5B2F6" w:rsidR="00C4738E" w:rsidRPr="00C4738E" w:rsidRDefault="00C4738E" w:rsidP="00C4738E">
      <w:pPr>
        <w:spacing w:line="480" w:lineRule="auto"/>
        <w:ind w:left="720" w:hanging="720"/>
        <w:rPr>
          <w:rFonts w:ascii="Times" w:hAnsi="Times"/>
        </w:rPr>
      </w:pPr>
      <w:r>
        <w:rPr>
          <w:rFonts w:ascii="Times" w:hAnsi="Times"/>
        </w:rPr>
        <w:tab/>
      </w:r>
      <w:r w:rsidRPr="00C4738E">
        <w:rPr>
          <w:rFonts w:ascii="Times" w:hAnsi="Times"/>
        </w:rPr>
        <w:t>https://doi.org/10.3389/fpsyt.2021.568932</w:t>
      </w:r>
    </w:p>
    <w:p w14:paraId="512AAF6C" w14:textId="73A5EC05" w:rsidR="00C4738E" w:rsidRPr="00C4738E" w:rsidRDefault="00C4738E" w:rsidP="00C4738E">
      <w:pPr>
        <w:spacing w:line="480" w:lineRule="auto"/>
        <w:ind w:left="720" w:hanging="720"/>
        <w:rPr>
          <w:rFonts w:ascii="Times" w:hAnsi="Times"/>
        </w:rPr>
      </w:pPr>
    </w:p>
    <w:p w14:paraId="3F5C6D1C" w14:textId="3E16D5FF" w:rsidR="00C4738E" w:rsidRPr="00C4738E" w:rsidRDefault="00C4738E" w:rsidP="00C4738E">
      <w:pPr>
        <w:spacing w:line="480" w:lineRule="auto"/>
        <w:ind w:left="720" w:hanging="720"/>
        <w:rPr>
          <w:rFonts w:ascii="Times" w:hAnsi="Times"/>
        </w:rPr>
      </w:pPr>
      <w:r w:rsidRPr="00C4738E">
        <w:rPr>
          <w:rFonts w:ascii="Times" w:hAnsi="Times"/>
          <w:color w:val="222222"/>
          <w:shd w:val="clear" w:color="auto" w:fill="FFFFFF"/>
        </w:rPr>
        <w:lastRenderedPageBreak/>
        <w:t xml:space="preserve">Laux, G. (2021). Serotonin reuptake inhibitors: citalopram, escitalopram, fluoxetine, fluvoxamine, paroxetine, and sertraline.  </w:t>
      </w:r>
      <w:proofErr w:type="spellStart"/>
      <w:r w:rsidRPr="00C4738E">
        <w:rPr>
          <w:rFonts w:ascii="Times" w:hAnsi="Times"/>
          <w:i/>
          <w:iCs/>
          <w:color w:val="222222"/>
          <w:shd w:val="clear" w:color="auto" w:fill="FFFFFF"/>
        </w:rPr>
        <w:t>NeuroPsychopharmacotherapy</w:t>
      </w:r>
      <w:proofErr w:type="spellEnd"/>
      <w:r w:rsidRPr="00C4738E">
        <w:rPr>
          <w:rFonts w:ascii="Times" w:hAnsi="Times"/>
          <w:color w:val="222222"/>
          <w:shd w:val="clear" w:color="auto" w:fill="FFFFFF"/>
        </w:rPr>
        <w:t xml:space="preserve"> (pp. 1-13). Cham: Springer International Publishing.</w:t>
      </w:r>
    </w:p>
    <w:p w14:paraId="116BBDC2" w14:textId="0200F4A7" w:rsidR="00141866" w:rsidRPr="00C4738E" w:rsidRDefault="00DB2640" w:rsidP="00C4738E">
      <w:pPr>
        <w:spacing w:line="480" w:lineRule="auto"/>
        <w:ind w:left="720" w:hanging="720"/>
        <w:rPr>
          <w:rFonts w:ascii="Times" w:hAnsi="Times"/>
          <w:shd w:val="clear" w:color="auto" w:fill="FFFFFF"/>
        </w:rPr>
      </w:pPr>
      <w:bookmarkStart w:id="0" w:name="_Hlk128395637"/>
      <w:r w:rsidRPr="00C4738E">
        <w:rPr>
          <w:rFonts w:ascii="Times" w:hAnsi="Times"/>
          <w:shd w:val="clear" w:color="auto" w:fill="FFFFFF"/>
        </w:rPr>
        <w:t xml:space="preserve">Muñoz, K. A., </w:t>
      </w:r>
      <w:proofErr w:type="spellStart"/>
      <w:r w:rsidRPr="00C4738E">
        <w:rPr>
          <w:rFonts w:ascii="Times" w:hAnsi="Times"/>
          <w:shd w:val="clear" w:color="auto" w:fill="FFFFFF"/>
        </w:rPr>
        <w:t>Kostick</w:t>
      </w:r>
      <w:proofErr w:type="spellEnd"/>
      <w:r w:rsidRPr="00C4738E">
        <w:rPr>
          <w:rFonts w:ascii="Times" w:hAnsi="Times"/>
          <w:shd w:val="clear" w:color="auto" w:fill="FFFFFF"/>
        </w:rPr>
        <w:t xml:space="preserve">, K., Torgerson, L., </w:t>
      </w:r>
      <w:proofErr w:type="spellStart"/>
      <w:r w:rsidRPr="00C4738E">
        <w:rPr>
          <w:rFonts w:ascii="Times" w:hAnsi="Times"/>
          <w:shd w:val="clear" w:color="auto" w:fill="FFFFFF"/>
        </w:rPr>
        <w:t>Zuk</w:t>
      </w:r>
      <w:proofErr w:type="spellEnd"/>
      <w:r w:rsidRPr="00C4738E">
        <w:rPr>
          <w:rFonts w:ascii="Times" w:hAnsi="Times"/>
          <w:shd w:val="clear" w:color="auto" w:fill="FFFFFF"/>
        </w:rPr>
        <w:t xml:space="preserve">, P., </w:t>
      </w:r>
      <w:proofErr w:type="spellStart"/>
      <w:r w:rsidRPr="00C4738E">
        <w:rPr>
          <w:rFonts w:ascii="Times" w:hAnsi="Times"/>
          <w:shd w:val="clear" w:color="auto" w:fill="FFFFFF"/>
        </w:rPr>
        <w:t>Kalwani</w:t>
      </w:r>
      <w:proofErr w:type="spellEnd"/>
      <w:r w:rsidRPr="00C4738E">
        <w:rPr>
          <w:rFonts w:ascii="Times" w:hAnsi="Times"/>
          <w:shd w:val="clear" w:color="auto" w:fill="FFFFFF"/>
        </w:rPr>
        <w:t xml:space="preserve">, L., Sanchez, C., &amp; </w:t>
      </w:r>
      <w:proofErr w:type="spellStart"/>
      <w:r w:rsidRPr="00C4738E">
        <w:rPr>
          <w:rFonts w:ascii="Times" w:hAnsi="Times"/>
          <w:shd w:val="clear" w:color="auto" w:fill="FFFFFF"/>
        </w:rPr>
        <w:t>Lázaro</w:t>
      </w:r>
      <w:proofErr w:type="spellEnd"/>
      <w:r w:rsidRPr="00C4738E">
        <w:rPr>
          <w:rFonts w:ascii="Times" w:hAnsi="Times"/>
          <w:shd w:val="clear" w:color="auto" w:fill="FFFFFF"/>
        </w:rPr>
        <w:t>-</w:t>
      </w:r>
    </w:p>
    <w:p w14:paraId="6A293C60" w14:textId="0CFA865A" w:rsidR="00141866" w:rsidRPr="00C4738E" w:rsidRDefault="00C4738E" w:rsidP="00C4738E">
      <w:pPr>
        <w:spacing w:line="480" w:lineRule="auto"/>
        <w:ind w:left="720" w:hanging="720"/>
        <w:rPr>
          <w:rFonts w:ascii="Times" w:hAnsi="Times"/>
          <w:shd w:val="clear" w:color="auto" w:fill="FFFFFF"/>
        </w:rPr>
      </w:pPr>
      <w:r>
        <w:rPr>
          <w:rFonts w:ascii="Times" w:hAnsi="Times"/>
          <w:shd w:val="clear" w:color="auto" w:fill="FFFFFF"/>
        </w:rPr>
        <w:tab/>
      </w:r>
      <w:r w:rsidR="00DB2640" w:rsidRPr="00C4738E">
        <w:rPr>
          <w:rFonts w:ascii="Times" w:hAnsi="Times"/>
          <w:shd w:val="clear" w:color="auto" w:fill="FFFFFF"/>
        </w:rPr>
        <w:t xml:space="preserve">Muñoz, G. (2021). Pressing ethical issues in considering pediatric deep brain stimulation </w:t>
      </w:r>
    </w:p>
    <w:p w14:paraId="034BD3B5" w14:textId="79B668DB" w:rsidR="00DB2640" w:rsidRPr="00C4738E" w:rsidRDefault="00C4738E" w:rsidP="00C4738E">
      <w:pPr>
        <w:spacing w:line="480" w:lineRule="auto"/>
        <w:ind w:left="720" w:hanging="720"/>
        <w:rPr>
          <w:rFonts w:ascii="Times" w:hAnsi="Times"/>
        </w:rPr>
      </w:pPr>
      <w:r>
        <w:rPr>
          <w:rFonts w:ascii="Times" w:hAnsi="Times"/>
          <w:shd w:val="clear" w:color="auto" w:fill="FFFFFF"/>
        </w:rPr>
        <w:tab/>
      </w:r>
      <w:r w:rsidR="00DB2640" w:rsidRPr="00C4738E">
        <w:rPr>
          <w:rFonts w:ascii="Times" w:hAnsi="Times"/>
          <w:shd w:val="clear" w:color="auto" w:fill="FFFFFF"/>
        </w:rPr>
        <w:t>for obsessive-compulsive disorder. </w:t>
      </w:r>
      <w:r w:rsidR="00DB2640" w:rsidRPr="00C4738E">
        <w:rPr>
          <w:rFonts w:ascii="Times" w:hAnsi="Times"/>
          <w:i/>
          <w:iCs/>
          <w:shd w:val="clear" w:color="auto" w:fill="FFFFFF"/>
        </w:rPr>
        <w:t>Brain Stimulation</w:t>
      </w:r>
      <w:r w:rsidR="00DB2640" w:rsidRPr="00C4738E">
        <w:rPr>
          <w:rFonts w:ascii="Times" w:hAnsi="Times"/>
          <w:shd w:val="clear" w:color="auto" w:fill="FFFFFF"/>
        </w:rPr>
        <w:t>, </w:t>
      </w:r>
      <w:r w:rsidR="00DB2640" w:rsidRPr="00C4738E">
        <w:rPr>
          <w:rFonts w:ascii="Times" w:hAnsi="Times"/>
          <w:i/>
          <w:iCs/>
          <w:shd w:val="clear" w:color="auto" w:fill="FFFFFF"/>
        </w:rPr>
        <w:t>14</w:t>
      </w:r>
      <w:r w:rsidR="00DB2640" w:rsidRPr="00C4738E">
        <w:rPr>
          <w:rFonts w:ascii="Times" w:hAnsi="Times"/>
          <w:shd w:val="clear" w:color="auto" w:fill="FFFFFF"/>
        </w:rPr>
        <w:t>(6), 1566-1572.</w:t>
      </w:r>
    </w:p>
    <w:p w14:paraId="60C19483" w14:textId="0393F18D" w:rsidR="00DB2640" w:rsidRPr="00C4738E" w:rsidRDefault="00DB2640" w:rsidP="00C4738E">
      <w:pPr>
        <w:spacing w:line="480" w:lineRule="auto"/>
        <w:ind w:left="720" w:hanging="720"/>
        <w:rPr>
          <w:rFonts w:ascii="Times" w:hAnsi="Times"/>
        </w:rPr>
      </w:pPr>
      <w:r w:rsidRPr="00C4738E">
        <w:rPr>
          <w:rFonts w:ascii="Times" w:hAnsi="Times"/>
          <w:shd w:val="clear" w:color="auto" w:fill="FFFFFF"/>
        </w:rPr>
        <w:t xml:space="preserve">National Institute for Health and Care Excellence. (2022). </w:t>
      </w:r>
      <w:r w:rsidRPr="00C4738E">
        <w:rPr>
          <w:rFonts w:ascii="Times" w:hAnsi="Times"/>
          <w:i/>
          <w:iCs/>
          <w:shd w:val="clear" w:color="auto" w:fill="FFFFFF"/>
        </w:rPr>
        <w:t>Obsessive-compulsive disorder and body dysmorphic disorder treatment.</w:t>
      </w:r>
      <w:r w:rsidRPr="00C4738E">
        <w:rPr>
          <w:rFonts w:ascii="Times" w:hAnsi="Times"/>
          <w:shd w:val="clear" w:color="auto" w:fill="FFFFFF"/>
        </w:rPr>
        <w:t xml:space="preserve"> Retrieved from https://www.nice.org.uk/guidance/cg31/resources/obsessivecompulsive-disorder-and-body-dysmorphic-disorder-treatment-pdf-975381519301</w:t>
      </w:r>
    </w:p>
    <w:p w14:paraId="170E2965" w14:textId="283FA38F" w:rsidR="00DB2640" w:rsidRPr="00C4738E" w:rsidRDefault="00DB2640" w:rsidP="00C4738E">
      <w:pPr>
        <w:spacing w:line="480" w:lineRule="auto"/>
        <w:ind w:left="720" w:hanging="720"/>
        <w:rPr>
          <w:rFonts w:ascii="Times" w:hAnsi="Times"/>
        </w:rPr>
      </w:pPr>
      <w:r w:rsidRPr="00C4738E">
        <w:rPr>
          <w:rFonts w:ascii="Times" w:hAnsi="Times"/>
        </w:rPr>
        <w:t xml:space="preserve">Nazeer, A., Latif, F., Mondal, A., Azeem, M. W., &amp; </w:t>
      </w:r>
      <w:proofErr w:type="spellStart"/>
      <w:r w:rsidRPr="00C4738E">
        <w:rPr>
          <w:rFonts w:ascii="Times" w:hAnsi="Times"/>
        </w:rPr>
        <w:t>Greydanus</w:t>
      </w:r>
      <w:proofErr w:type="spellEnd"/>
      <w:r w:rsidRPr="00C4738E">
        <w:rPr>
          <w:rFonts w:ascii="Times" w:hAnsi="Times"/>
        </w:rPr>
        <w:t xml:space="preserve">, D. E. (2020). Obsessive-compulsive disorder in children and adolescents: Epidemiology, diagnosis, and management. </w:t>
      </w:r>
      <w:r w:rsidRPr="00C4738E">
        <w:rPr>
          <w:rFonts w:ascii="Times" w:hAnsi="Times"/>
          <w:i/>
          <w:iCs/>
        </w:rPr>
        <w:t>Translational Pediatrics</w:t>
      </w:r>
      <w:r w:rsidRPr="00C4738E">
        <w:rPr>
          <w:rFonts w:ascii="Times" w:hAnsi="Times"/>
        </w:rPr>
        <w:t xml:space="preserve">, 9(1), 76–93. </w:t>
      </w:r>
      <w:hyperlink r:id="rId10" w:history="1">
        <w:r w:rsidRPr="00C4738E">
          <w:rPr>
            <w:rFonts w:ascii="Times" w:hAnsi="Times"/>
          </w:rPr>
          <w:t>https://doi.org/10.21037/tp.2019.10.02</w:t>
        </w:r>
      </w:hyperlink>
    </w:p>
    <w:p w14:paraId="6FE449F2" w14:textId="1F7D44EC" w:rsidR="00DB2640" w:rsidRPr="00C4738E" w:rsidRDefault="00DB2640" w:rsidP="00C4738E">
      <w:pPr>
        <w:spacing w:line="480" w:lineRule="auto"/>
        <w:ind w:left="720" w:hanging="720"/>
        <w:rPr>
          <w:rFonts w:ascii="Times" w:hAnsi="Times"/>
        </w:rPr>
      </w:pPr>
      <w:proofErr w:type="spellStart"/>
      <w:r w:rsidRPr="00C4738E">
        <w:rPr>
          <w:rFonts w:ascii="Times" w:hAnsi="Times"/>
          <w:shd w:val="clear" w:color="auto" w:fill="FFFFFF"/>
        </w:rPr>
        <w:t>Pittenger</w:t>
      </w:r>
      <w:proofErr w:type="spellEnd"/>
      <w:r w:rsidRPr="00C4738E">
        <w:rPr>
          <w:rFonts w:ascii="Times" w:hAnsi="Times"/>
          <w:shd w:val="clear" w:color="auto" w:fill="FFFFFF"/>
        </w:rPr>
        <w:t>, C., &amp; Bloch, M. H. (2014). Pharmacological treatment of obsessive-compulsive disorder. </w:t>
      </w:r>
      <w:r w:rsidRPr="00C4738E">
        <w:rPr>
          <w:rFonts w:ascii="Times" w:hAnsi="Times"/>
          <w:i/>
          <w:iCs/>
          <w:shd w:val="clear" w:color="auto" w:fill="FFFFFF"/>
        </w:rPr>
        <w:t>Psychiatric Clinics</w:t>
      </w:r>
      <w:r w:rsidRPr="00C4738E">
        <w:rPr>
          <w:rFonts w:ascii="Times" w:hAnsi="Times"/>
          <w:shd w:val="clear" w:color="auto" w:fill="FFFFFF"/>
        </w:rPr>
        <w:t>, </w:t>
      </w:r>
      <w:r w:rsidRPr="00C4738E">
        <w:rPr>
          <w:rFonts w:ascii="Times" w:hAnsi="Times"/>
          <w:i/>
          <w:iCs/>
          <w:shd w:val="clear" w:color="auto" w:fill="FFFFFF"/>
        </w:rPr>
        <w:t>37</w:t>
      </w:r>
      <w:r w:rsidRPr="00C4738E">
        <w:rPr>
          <w:rFonts w:ascii="Times" w:hAnsi="Times"/>
          <w:shd w:val="clear" w:color="auto" w:fill="FFFFFF"/>
        </w:rPr>
        <w:t>(3), 375-391.</w:t>
      </w:r>
    </w:p>
    <w:p w14:paraId="24C75161" w14:textId="23C9DEFD" w:rsidR="00DB2640" w:rsidRPr="00C4738E" w:rsidRDefault="00DB2640" w:rsidP="00C4738E">
      <w:pPr>
        <w:spacing w:line="480" w:lineRule="auto"/>
        <w:ind w:left="720" w:hanging="720"/>
        <w:rPr>
          <w:rFonts w:ascii="Times" w:hAnsi="Times"/>
        </w:rPr>
      </w:pPr>
      <w:proofErr w:type="spellStart"/>
      <w:r w:rsidRPr="00C4738E">
        <w:rPr>
          <w:rFonts w:ascii="Times" w:hAnsi="Times"/>
        </w:rPr>
        <w:t>Rajith</w:t>
      </w:r>
      <w:proofErr w:type="spellEnd"/>
      <w:r w:rsidRPr="00C4738E">
        <w:rPr>
          <w:rFonts w:ascii="Times" w:hAnsi="Times"/>
        </w:rPr>
        <w:t xml:space="preserve">, R. K., &amp; Krishnakumar, P. (2022). Clinical profile of obsessive-compulsive disorder in children. </w:t>
      </w:r>
      <w:r w:rsidRPr="00C4738E">
        <w:rPr>
          <w:rFonts w:ascii="Times" w:hAnsi="Times"/>
          <w:i/>
          <w:iCs/>
        </w:rPr>
        <w:t>Journal of Family Medicine and Primary Care, 11</w:t>
      </w:r>
      <w:r w:rsidRPr="00C4738E">
        <w:rPr>
          <w:rFonts w:ascii="Times" w:hAnsi="Times"/>
        </w:rPr>
        <w:t xml:space="preserve">(1), 251–255. </w:t>
      </w:r>
      <w:hyperlink r:id="rId11" w:history="1">
        <w:r w:rsidRPr="00C4738E">
          <w:rPr>
            <w:rFonts w:ascii="Times" w:hAnsi="Times"/>
          </w:rPr>
          <w:t>https://doi.org/10.4103/jfmpc.jfmpc_1328_21</w:t>
        </w:r>
      </w:hyperlink>
    </w:p>
    <w:p w14:paraId="75BC3D97" w14:textId="2D3E0B68" w:rsidR="00DB2640" w:rsidRPr="00C4738E" w:rsidRDefault="00DB2640" w:rsidP="00C4738E">
      <w:pPr>
        <w:spacing w:line="480" w:lineRule="auto"/>
        <w:ind w:left="720" w:hanging="720"/>
        <w:rPr>
          <w:rFonts w:ascii="Times" w:hAnsi="Times"/>
        </w:rPr>
      </w:pPr>
      <w:r w:rsidRPr="00C4738E">
        <w:rPr>
          <w:rFonts w:ascii="Times" w:hAnsi="Times"/>
        </w:rPr>
        <w:t xml:space="preserve">Stahl, S. M. (2021). </w:t>
      </w:r>
      <w:r w:rsidRPr="00C4738E">
        <w:rPr>
          <w:rFonts w:ascii="Times" w:hAnsi="Times"/>
          <w:i/>
          <w:iCs/>
        </w:rPr>
        <w:t>Stahl's essential psychopharmacology: Prescriber's guide</w:t>
      </w:r>
      <w:r w:rsidRPr="00C4738E">
        <w:rPr>
          <w:rFonts w:ascii="Times" w:hAnsi="Times"/>
        </w:rPr>
        <w:t xml:space="preserve"> (7th ed.). Cambridge University Press. </w:t>
      </w:r>
    </w:p>
    <w:p w14:paraId="2A1AFCE5" w14:textId="7E4EFC1A" w:rsidR="00DB2640" w:rsidRPr="00C4738E" w:rsidRDefault="00DB2640" w:rsidP="00C4738E">
      <w:pPr>
        <w:spacing w:line="480" w:lineRule="auto"/>
        <w:ind w:left="720" w:hanging="720"/>
        <w:rPr>
          <w:rFonts w:ascii="Times" w:hAnsi="Times"/>
        </w:rPr>
      </w:pPr>
      <w:r w:rsidRPr="00C4738E">
        <w:rPr>
          <w:rFonts w:ascii="Times" w:hAnsi="Times"/>
        </w:rPr>
        <w:lastRenderedPageBreak/>
        <w:t xml:space="preserve">Stein, D. J., Costa, D. L. C., Lochner, C., Miguel, E. C., Reddy, Y. C. J., </w:t>
      </w:r>
      <w:proofErr w:type="spellStart"/>
      <w:r w:rsidRPr="00C4738E">
        <w:rPr>
          <w:rFonts w:ascii="Times" w:hAnsi="Times"/>
        </w:rPr>
        <w:t>Shavitt</w:t>
      </w:r>
      <w:proofErr w:type="spellEnd"/>
      <w:r w:rsidRPr="00C4738E">
        <w:rPr>
          <w:rFonts w:ascii="Times" w:hAnsi="Times"/>
        </w:rPr>
        <w:t xml:space="preserve">, R. G., Van den Heuvel, O. A., &amp; Simpson, H. B. (2019). Obsessive-compulsive disorder. </w:t>
      </w:r>
      <w:r w:rsidRPr="00C4738E">
        <w:rPr>
          <w:rFonts w:ascii="Times" w:hAnsi="Times"/>
          <w:i/>
        </w:rPr>
        <w:t>Nature Reviews Disease Primers, 5</w:t>
      </w:r>
      <w:r w:rsidRPr="00C4738E">
        <w:rPr>
          <w:rFonts w:ascii="Times" w:hAnsi="Times"/>
        </w:rPr>
        <w:t xml:space="preserve">(1), 52. </w:t>
      </w:r>
      <w:hyperlink r:id="rId12" w:history="1">
        <w:r w:rsidRPr="00C4738E">
          <w:rPr>
            <w:rFonts w:ascii="Times" w:hAnsi="Times"/>
          </w:rPr>
          <w:t>https://doi.org/10.1038/s41572-019-0102-3\</w:t>
        </w:r>
      </w:hyperlink>
    </w:p>
    <w:p w14:paraId="31BE02CD" w14:textId="0A862308" w:rsidR="00DB2640" w:rsidRPr="00C4738E" w:rsidRDefault="00DB2640" w:rsidP="00C4738E">
      <w:pPr>
        <w:spacing w:line="480" w:lineRule="auto"/>
        <w:ind w:left="720" w:hanging="720"/>
        <w:rPr>
          <w:rFonts w:ascii="Times" w:hAnsi="Times"/>
          <w:shd w:val="clear" w:color="auto" w:fill="FFFFFF"/>
        </w:rPr>
      </w:pPr>
      <w:r w:rsidRPr="00C4738E">
        <w:rPr>
          <w:rFonts w:ascii="Times" w:hAnsi="Times"/>
          <w:shd w:val="clear" w:color="auto" w:fill="FFFFFF"/>
        </w:rPr>
        <w:t xml:space="preserve">Stewart, S. E. &amp; </w:t>
      </w:r>
      <w:proofErr w:type="spellStart"/>
      <w:r w:rsidRPr="00C4738E">
        <w:rPr>
          <w:rFonts w:ascii="Times" w:hAnsi="Times"/>
          <w:shd w:val="clear" w:color="auto" w:fill="FFFFFF"/>
        </w:rPr>
        <w:t>Westwell</w:t>
      </w:r>
      <w:proofErr w:type="spellEnd"/>
      <w:r w:rsidRPr="00C4738E">
        <w:rPr>
          <w:rFonts w:ascii="Times" w:hAnsi="Times"/>
          <w:shd w:val="clear" w:color="auto" w:fill="FFFFFF"/>
        </w:rPr>
        <w:t>-Roper, C. (2019). Challenges in the diagnosis and treatment of pediatric obsessive–compulsive disorder. </w:t>
      </w:r>
      <w:r w:rsidRPr="00C4738E">
        <w:rPr>
          <w:rFonts w:ascii="Times" w:hAnsi="Times"/>
          <w:i/>
          <w:iCs/>
          <w:shd w:val="clear" w:color="auto" w:fill="FFFFFF"/>
        </w:rPr>
        <w:t>Indian Journal of Psychiatry</w:t>
      </w:r>
      <w:r w:rsidRPr="00C4738E">
        <w:rPr>
          <w:rFonts w:ascii="Times" w:hAnsi="Times"/>
          <w:shd w:val="clear" w:color="auto" w:fill="FFFFFF"/>
        </w:rPr>
        <w:t>, </w:t>
      </w:r>
      <w:r w:rsidRPr="00C4738E">
        <w:rPr>
          <w:rFonts w:ascii="Times" w:hAnsi="Times"/>
          <w:i/>
          <w:iCs/>
          <w:shd w:val="clear" w:color="auto" w:fill="FFFFFF"/>
        </w:rPr>
        <w:t>61</w:t>
      </w:r>
      <w:r w:rsidRPr="00C4738E">
        <w:rPr>
          <w:rFonts w:ascii="Times" w:hAnsi="Times"/>
          <w:shd w:val="clear" w:color="auto" w:fill="FFFFFF"/>
        </w:rPr>
        <w:t>, S119.</w:t>
      </w:r>
    </w:p>
    <w:p w14:paraId="46CB424A" w14:textId="4FE3D8D9" w:rsidR="00DB2640" w:rsidRPr="00C4738E" w:rsidRDefault="00DB2640" w:rsidP="00C4738E">
      <w:pPr>
        <w:spacing w:line="480" w:lineRule="auto"/>
        <w:ind w:left="720" w:hanging="720"/>
        <w:rPr>
          <w:rFonts w:ascii="Times" w:hAnsi="Times"/>
        </w:rPr>
      </w:pPr>
      <w:r w:rsidRPr="00C4738E">
        <w:rPr>
          <w:rFonts w:ascii="Times" w:hAnsi="Times"/>
          <w:shd w:val="clear" w:color="auto" w:fill="FFFFFF"/>
        </w:rPr>
        <w:t xml:space="preserve">Veale, D., </w:t>
      </w:r>
      <w:proofErr w:type="spellStart"/>
      <w:r w:rsidRPr="00C4738E">
        <w:rPr>
          <w:rFonts w:ascii="Times" w:hAnsi="Times"/>
          <w:shd w:val="clear" w:color="auto" w:fill="FFFFFF"/>
        </w:rPr>
        <w:t>Freeston</w:t>
      </w:r>
      <w:proofErr w:type="spellEnd"/>
      <w:r w:rsidRPr="00C4738E">
        <w:rPr>
          <w:rFonts w:ascii="Times" w:hAnsi="Times"/>
          <w:shd w:val="clear" w:color="auto" w:fill="FFFFFF"/>
        </w:rPr>
        <w:t xml:space="preserve">, M., Krebs, G., Heyman, I., &amp; </w:t>
      </w:r>
      <w:proofErr w:type="spellStart"/>
      <w:r w:rsidRPr="00C4738E">
        <w:rPr>
          <w:rFonts w:ascii="Times" w:hAnsi="Times"/>
          <w:shd w:val="clear" w:color="auto" w:fill="FFFFFF"/>
        </w:rPr>
        <w:t>Salkovskis</w:t>
      </w:r>
      <w:proofErr w:type="spellEnd"/>
      <w:r w:rsidRPr="00C4738E">
        <w:rPr>
          <w:rFonts w:ascii="Times" w:hAnsi="Times"/>
          <w:shd w:val="clear" w:color="auto" w:fill="FFFFFF"/>
        </w:rPr>
        <w:t>, P. (2009). Risk assessment and management in obsessive–compulsive disorder. </w:t>
      </w:r>
      <w:r w:rsidRPr="00C4738E">
        <w:rPr>
          <w:rFonts w:ascii="Times" w:hAnsi="Times"/>
          <w:i/>
          <w:iCs/>
          <w:shd w:val="clear" w:color="auto" w:fill="FFFFFF"/>
        </w:rPr>
        <w:t xml:space="preserve">Advances </w:t>
      </w:r>
      <w:r w:rsidR="002F1468">
        <w:rPr>
          <w:rFonts w:ascii="Times" w:hAnsi="Times"/>
          <w:i/>
          <w:iCs/>
          <w:shd w:val="clear" w:color="auto" w:fill="FFFFFF"/>
        </w:rPr>
        <w:t>I</w:t>
      </w:r>
      <w:r w:rsidRPr="00C4738E">
        <w:rPr>
          <w:rFonts w:ascii="Times" w:hAnsi="Times"/>
          <w:i/>
          <w:iCs/>
          <w:shd w:val="clear" w:color="auto" w:fill="FFFFFF"/>
        </w:rPr>
        <w:t xml:space="preserve">n </w:t>
      </w:r>
      <w:r w:rsidR="002F1468">
        <w:rPr>
          <w:rFonts w:ascii="Times" w:hAnsi="Times"/>
          <w:i/>
          <w:iCs/>
          <w:shd w:val="clear" w:color="auto" w:fill="FFFFFF"/>
        </w:rPr>
        <w:t>P</w:t>
      </w:r>
      <w:r w:rsidRPr="00C4738E">
        <w:rPr>
          <w:rFonts w:ascii="Times" w:hAnsi="Times"/>
          <w:i/>
          <w:iCs/>
          <w:shd w:val="clear" w:color="auto" w:fill="FFFFFF"/>
        </w:rPr>
        <w:t xml:space="preserve">sychiatric </w:t>
      </w:r>
      <w:r w:rsidR="002F1468">
        <w:rPr>
          <w:rFonts w:ascii="Times" w:hAnsi="Times"/>
          <w:i/>
          <w:iCs/>
          <w:shd w:val="clear" w:color="auto" w:fill="FFFFFF"/>
        </w:rPr>
        <w:t>T</w:t>
      </w:r>
      <w:r w:rsidRPr="00C4738E">
        <w:rPr>
          <w:rFonts w:ascii="Times" w:hAnsi="Times"/>
          <w:i/>
          <w:iCs/>
          <w:shd w:val="clear" w:color="auto" w:fill="FFFFFF"/>
        </w:rPr>
        <w:t>reatment</w:t>
      </w:r>
      <w:r w:rsidRPr="00C4738E">
        <w:rPr>
          <w:rFonts w:ascii="Times" w:hAnsi="Times"/>
          <w:shd w:val="clear" w:color="auto" w:fill="FFFFFF"/>
        </w:rPr>
        <w:t>, </w:t>
      </w:r>
      <w:r w:rsidRPr="00C4738E">
        <w:rPr>
          <w:rFonts w:ascii="Times" w:hAnsi="Times"/>
          <w:i/>
          <w:iCs/>
          <w:shd w:val="clear" w:color="auto" w:fill="FFFFFF"/>
        </w:rPr>
        <w:t>15</w:t>
      </w:r>
      <w:r w:rsidRPr="00C4738E">
        <w:rPr>
          <w:rFonts w:ascii="Times" w:hAnsi="Times"/>
          <w:shd w:val="clear" w:color="auto" w:fill="FFFFFF"/>
        </w:rPr>
        <w:t>(5), 332-343.</w:t>
      </w:r>
    </w:p>
    <w:bookmarkEnd w:id="0"/>
    <w:p w14:paraId="4144C8DE" w14:textId="77777777" w:rsidR="00DB2640" w:rsidRDefault="00DB2640"/>
    <w:sectPr w:rsidR="00DB2640" w:rsidSect="006603BC">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EF1A" w14:textId="77777777" w:rsidR="0024379D" w:rsidRDefault="0024379D" w:rsidP="00DB2640">
      <w:r>
        <w:separator/>
      </w:r>
    </w:p>
  </w:endnote>
  <w:endnote w:type="continuationSeparator" w:id="0">
    <w:p w14:paraId="38EFFCD2" w14:textId="77777777" w:rsidR="0024379D" w:rsidRDefault="0024379D" w:rsidP="00DB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1068299"/>
      <w:docPartObj>
        <w:docPartGallery w:val="Page Numbers (Bottom of Page)"/>
        <w:docPartUnique/>
      </w:docPartObj>
    </w:sdtPr>
    <w:sdtContent>
      <w:p w14:paraId="08C04DF7" w14:textId="2AD593E4" w:rsidR="00DB2640" w:rsidRDefault="00DB2640" w:rsidP="003A61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695A76" w14:textId="77777777" w:rsidR="00DB2640" w:rsidRDefault="00DB2640" w:rsidP="00DB26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AED5" w14:textId="77C03581" w:rsidR="00DA6EFD" w:rsidRDefault="00DA6EFD">
    <w:pPr>
      <w:pStyle w:val="Footer"/>
      <w:jc w:val="right"/>
    </w:pPr>
  </w:p>
  <w:p w14:paraId="0229BBB2" w14:textId="77777777" w:rsidR="00DB2640" w:rsidRDefault="00DB2640" w:rsidP="00DB2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8DED" w14:textId="77777777" w:rsidR="0024379D" w:rsidRDefault="0024379D" w:rsidP="00DB2640">
      <w:r>
        <w:separator/>
      </w:r>
    </w:p>
  </w:footnote>
  <w:footnote w:type="continuationSeparator" w:id="0">
    <w:p w14:paraId="427DC658" w14:textId="77777777" w:rsidR="0024379D" w:rsidRDefault="0024379D" w:rsidP="00DB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3851419"/>
      <w:docPartObj>
        <w:docPartGallery w:val="Page Numbers (Top of Page)"/>
        <w:docPartUnique/>
      </w:docPartObj>
    </w:sdtPr>
    <w:sdtContent>
      <w:p w14:paraId="15DDF7E4" w14:textId="47F965DD" w:rsidR="00DB2640" w:rsidRDefault="00DB2640" w:rsidP="00613D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D95B4" w14:textId="77777777" w:rsidR="00DB2640" w:rsidRDefault="00DB2640" w:rsidP="00DB26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0877438"/>
      <w:docPartObj>
        <w:docPartGallery w:val="Page Numbers (Top of Page)"/>
        <w:docPartUnique/>
      </w:docPartObj>
    </w:sdtPr>
    <w:sdtContent>
      <w:p w14:paraId="1A8DB3B6" w14:textId="7D9A46C8" w:rsidR="00613DD6" w:rsidRDefault="00613DD6" w:rsidP="001461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BFB3323" w14:textId="22172D4B" w:rsidR="00DB2640" w:rsidRDefault="00DB2640" w:rsidP="00DB2640">
    <w:pPr>
      <w:pStyle w:val="Header"/>
      <w:ind w:right="360"/>
    </w:pPr>
    <w:r>
      <w:t>OCD REFERENCE TOOL</w:t>
    </w:r>
  </w:p>
  <w:p w14:paraId="4E2AEED8" w14:textId="77777777" w:rsidR="00DB2640" w:rsidRDefault="00DB2640" w:rsidP="00DB26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997"/>
    <w:multiLevelType w:val="multilevel"/>
    <w:tmpl w:val="A2E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642EA"/>
    <w:multiLevelType w:val="multilevel"/>
    <w:tmpl w:val="BA62B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200D0"/>
    <w:multiLevelType w:val="multilevel"/>
    <w:tmpl w:val="8FD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941A4"/>
    <w:multiLevelType w:val="multilevel"/>
    <w:tmpl w:val="9F2A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B35A1"/>
    <w:multiLevelType w:val="multilevel"/>
    <w:tmpl w:val="3E9E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A74B7"/>
    <w:multiLevelType w:val="multilevel"/>
    <w:tmpl w:val="9F2A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B2497"/>
    <w:multiLevelType w:val="hybridMultilevel"/>
    <w:tmpl w:val="805489AE"/>
    <w:lvl w:ilvl="0" w:tplc="04090001">
      <w:start w:val="1"/>
      <w:numFmt w:val="bullet"/>
      <w:lvlText w:val=""/>
      <w:lvlJc w:val="left"/>
      <w:pPr>
        <w:ind w:left="720" w:hanging="360"/>
      </w:pPr>
      <w:rPr>
        <w:rFonts w:ascii="Symbol" w:hAnsi="Symbol" w:hint="default"/>
      </w:rPr>
    </w:lvl>
    <w:lvl w:ilvl="1" w:tplc="6B02AA3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058CC"/>
    <w:multiLevelType w:val="multilevel"/>
    <w:tmpl w:val="9F2A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46A4D"/>
    <w:multiLevelType w:val="multilevel"/>
    <w:tmpl w:val="C0B2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D5C9E"/>
    <w:multiLevelType w:val="multilevel"/>
    <w:tmpl w:val="ACA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F0D8C"/>
    <w:multiLevelType w:val="multilevel"/>
    <w:tmpl w:val="D44A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824D5"/>
    <w:multiLevelType w:val="multilevel"/>
    <w:tmpl w:val="7BFA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74963"/>
    <w:multiLevelType w:val="multilevel"/>
    <w:tmpl w:val="33B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47B81"/>
    <w:multiLevelType w:val="multilevel"/>
    <w:tmpl w:val="99F2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304EE"/>
    <w:multiLevelType w:val="multilevel"/>
    <w:tmpl w:val="A836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E9E"/>
    <w:multiLevelType w:val="multilevel"/>
    <w:tmpl w:val="56F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066C7"/>
    <w:multiLevelType w:val="multilevel"/>
    <w:tmpl w:val="712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F2915"/>
    <w:multiLevelType w:val="multilevel"/>
    <w:tmpl w:val="9DB6F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10A66"/>
    <w:multiLevelType w:val="multilevel"/>
    <w:tmpl w:val="463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64121">
    <w:abstractNumId w:val="0"/>
  </w:num>
  <w:num w:numId="2" w16cid:durableId="1235816261">
    <w:abstractNumId w:val="9"/>
  </w:num>
  <w:num w:numId="3" w16cid:durableId="1061248993">
    <w:abstractNumId w:val="10"/>
  </w:num>
  <w:num w:numId="4" w16cid:durableId="518860964">
    <w:abstractNumId w:val="5"/>
  </w:num>
  <w:num w:numId="5" w16cid:durableId="580599485">
    <w:abstractNumId w:val="1"/>
  </w:num>
  <w:num w:numId="6" w16cid:durableId="2031493379">
    <w:abstractNumId w:val="17"/>
  </w:num>
  <w:num w:numId="7" w16cid:durableId="1858931897">
    <w:abstractNumId w:val="18"/>
  </w:num>
  <w:num w:numId="8" w16cid:durableId="788820948">
    <w:abstractNumId w:val="14"/>
  </w:num>
  <w:num w:numId="9" w16cid:durableId="2127697164">
    <w:abstractNumId w:val="8"/>
  </w:num>
  <w:num w:numId="10" w16cid:durableId="1908224285">
    <w:abstractNumId w:val="13"/>
  </w:num>
  <w:num w:numId="11" w16cid:durableId="1495991477">
    <w:abstractNumId w:val="16"/>
  </w:num>
  <w:num w:numId="12" w16cid:durableId="1978804291">
    <w:abstractNumId w:val="15"/>
  </w:num>
  <w:num w:numId="13" w16cid:durableId="701398811">
    <w:abstractNumId w:val="11"/>
  </w:num>
  <w:num w:numId="14" w16cid:durableId="632711295">
    <w:abstractNumId w:val="12"/>
  </w:num>
  <w:num w:numId="15" w16cid:durableId="1783456161">
    <w:abstractNumId w:val="2"/>
  </w:num>
  <w:num w:numId="16" w16cid:durableId="764225662">
    <w:abstractNumId w:val="4"/>
  </w:num>
  <w:num w:numId="17" w16cid:durableId="1881280931">
    <w:abstractNumId w:val="7"/>
  </w:num>
  <w:num w:numId="18" w16cid:durableId="1406100167">
    <w:abstractNumId w:val="3"/>
  </w:num>
  <w:num w:numId="19" w16cid:durableId="199440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40"/>
    <w:rsid w:val="00075FD0"/>
    <w:rsid w:val="000B5F77"/>
    <w:rsid w:val="00141866"/>
    <w:rsid w:val="0024379D"/>
    <w:rsid w:val="00263EF8"/>
    <w:rsid w:val="002978FC"/>
    <w:rsid w:val="002F1468"/>
    <w:rsid w:val="004512DD"/>
    <w:rsid w:val="004B13F0"/>
    <w:rsid w:val="004C0FED"/>
    <w:rsid w:val="00572642"/>
    <w:rsid w:val="00601751"/>
    <w:rsid w:val="00613DD6"/>
    <w:rsid w:val="006169B1"/>
    <w:rsid w:val="006603BC"/>
    <w:rsid w:val="006B42C9"/>
    <w:rsid w:val="006F6924"/>
    <w:rsid w:val="00766FE6"/>
    <w:rsid w:val="008B69FC"/>
    <w:rsid w:val="00AD3023"/>
    <w:rsid w:val="00AD4E80"/>
    <w:rsid w:val="00B262D1"/>
    <w:rsid w:val="00C4738E"/>
    <w:rsid w:val="00DA6EFD"/>
    <w:rsid w:val="00DB2640"/>
    <w:rsid w:val="00DE45D8"/>
    <w:rsid w:val="00E3000A"/>
    <w:rsid w:val="00E8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29576"/>
  <w15:chartTrackingRefBased/>
  <w15:docId w15:val="{9CE0F062-A12C-3F43-AC74-229C7906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640"/>
    <w:rPr>
      <w:rFonts w:ascii="Times New Roman" w:eastAsia="Times New Roman" w:hAnsi="Times New Roman" w:cs="Times New Roman"/>
    </w:rPr>
  </w:style>
  <w:style w:type="paragraph" w:styleId="Heading1">
    <w:name w:val="heading 1"/>
    <w:basedOn w:val="Normal"/>
    <w:link w:val="Heading1Char"/>
    <w:uiPriority w:val="9"/>
    <w:qFormat/>
    <w:rsid w:val="00DB264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640"/>
    <w:pPr>
      <w:spacing w:before="100" w:beforeAutospacing="1" w:after="100" w:afterAutospacing="1"/>
    </w:pPr>
  </w:style>
  <w:style w:type="character" w:customStyle="1" w:styleId="Heading1Char">
    <w:name w:val="Heading 1 Char"/>
    <w:basedOn w:val="DefaultParagraphFont"/>
    <w:link w:val="Heading1"/>
    <w:uiPriority w:val="9"/>
    <w:rsid w:val="00DB264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B2640"/>
    <w:rPr>
      <w:color w:val="0000FF"/>
      <w:u w:val="single"/>
    </w:rPr>
  </w:style>
  <w:style w:type="paragraph" w:styleId="Header">
    <w:name w:val="header"/>
    <w:basedOn w:val="Normal"/>
    <w:link w:val="HeaderChar"/>
    <w:uiPriority w:val="99"/>
    <w:unhideWhenUsed/>
    <w:rsid w:val="00DB2640"/>
    <w:pPr>
      <w:tabs>
        <w:tab w:val="center" w:pos="4680"/>
        <w:tab w:val="right" w:pos="9360"/>
      </w:tabs>
    </w:pPr>
  </w:style>
  <w:style w:type="character" w:customStyle="1" w:styleId="HeaderChar">
    <w:name w:val="Header Char"/>
    <w:basedOn w:val="DefaultParagraphFont"/>
    <w:link w:val="Header"/>
    <w:uiPriority w:val="99"/>
    <w:rsid w:val="00DB2640"/>
    <w:rPr>
      <w:rFonts w:ascii="Times New Roman" w:eastAsia="Times New Roman" w:hAnsi="Times New Roman" w:cs="Times New Roman"/>
    </w:rPr>
  </w:style>
  <w:style w:type="paragraph" w:styleId="Footer">
    <w:name w:val="footer"/>
    <w:basedOn w:val="Normal"/>
    <w:link w:val="FooterChar"/>
    <w:uiPriority w:val="99"/>
    <w:unhideWhenUsed/>
    <w:rsid w:val="00DB2640"/>
    <w:pPr>
      <w:tabs>
        <w:tab w:val="center" w:pos="4680"/>
        <w:tab w:val="right" w:pos="9360"/>
      </w:tabs>
    </w:pPr>
  </w:style>
  <w:style w:type="character" w:customStyle="1" w:styleId="FooterChar">
    <w:name w:val="Footer Char"/>
    <w:basedOn w:val="DefaultParagraphFont"/>
    <w:link w:val="Footer"/>
    <w:uiPriority w:val="99"/>
    <w:rsid w:val="00DB2640"/>
    <w:rPr>
      <w:rFonts w:ascii="Times New Roman" w:eastAsia="Times New Roman" w:hAnsi="Times New Roman" w:cs="Times New Roman"/>
    </w:rPr>
  </w:style>
  <w:style w:type="character" w:styleId="PageNumber">
    <w:name w:val="page number"/>
    <w:basedOn w:val="DefaultParagraphFont"/>
    <w:uiPriority w:val="99"/>
    <w:semiHidden/>
    <w:unhideWhenUsed/>
    <w:rsid w:val="00DB2640"/>
  </w:style>
  <w:style w:type="character" w:styleId="UnresolvedMention">
    <w:name w:val="Unresolved Mention"/>
    <w:basedOn w:val="DefaultParagraphFont"/>
    <w:uiPriority w:val="99"/>
    <w:semiHidden/>
    <w:unhideWhenUsed/>
    <w:rsid w:val="00E3000A"/>
    <w:rPr>
      <w:color w:val="605E5C"/>
      <w:shd w:val="clear" w:color="auto" w:fill="E1DFDD"/>
    </w:rPr>
  </w:style>
  <w:style w:type="paragraph" w:styleId="ListParagraph">
    <w:name w:val="List Paragraph"/>
    <w:basedOn w:val="Normal"/>
    <w:uiPriority w:val="34"/>
    <w:qFormat/>
    <w:rsid w:val="00AD4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3711">
      <w:bodyDiv w:val="1"/>
      <w:marLeft w:val="0"/>
      <w:marRight w:val="0"/>
      <w:marTop w:val="0"/>
      <w:marBottom w:val="0"/>
      <w:divBdr>
        <w:top w:val="none" w:sz="0" w:space="0" w:color="auto"/>
        <w:left w:val="none" w:sz="0" w:space="0" w:color="auto"/>
        <w:bottom w:val="none" w:sz="0" w:space="0" w:color="auto"/>
        <w:right w:val="none" w:sz="0" w:space="0" w:color="auto"/>
      </w:divBdr>
    </w:div>
    <w:div w:id="612782049">
      <w:bodyDiv w:val="1"/>
      <w:marLeft w:val="0"/>
      <w:marRight w:val="0"/>
      <w:marTop w:val="0"/>
      <w:marBottom w:val="0"/>
      <w:divBdr>
        <w:top w:val="none" w:sz="0" w:space="0" w:color="auto"/>
        <w:left w:val="none" w:sz="0" w:space="0" w:color="auto"/>
        <w:bottom w:val="none" w:sz="0" w:space="0" w:color="auto"/>
        <w:right w:val="none" w:sz="0" w:space="0" w:color="auto"/>
      </w:divBdr>
    </w:div>
    <w:div w:id="723483506">
      <w:bodyDiv w:val="1"/>
      <w:marLeft w:val="0"/>
      <w:marRight w:val="0"/>
      <w:marTop w:val="0"/>
      <w:marBottom w:val="0"/>
      <w:divBdr>
        <w:top w:val="none" w:sz="0" w:space="0" w:color="auto"/>
        <w:left w:val="none" w:sz="0" w:space="0" w:color="auto"/>
        <w:bottom w:val="none" w:sz="0" w:space="0" w:color="auto"/>
        <w:right w:val="none" w:sz="0" w:space="0" w:color="auto"/>
      </w:divBdr>
    </w:div>
    <w:div w:id="733162821">
      <w:bodyDiv w:val="1"/>
      <w:marLeft w:val="0"/>
      <w:marRight w:val="0"/>
      <w:marTop w:val="0"/>
      <w:marBottom w:val="0"/>
      <w:divBdr>
        <w:top w:val="none" w:sz="0" w:space="0" w:color="auto"/>
        <w:left w:val="none" w:sz="0" w:space="0" w:color="auto"/>
        <w:bottom w:val="none" w:sz="0" w:space="0" w:color="auto"/>
        <w:right w:val="none" w:sz="0" w:space="0" w:color="auto"/>
      </w:divBdr>
    </w:div>
    <w:div w:id="757487782">
      <w:bodyDiv w:val="1"/>
      <w:marLeft w:val="0"/>
      <w:marRight w:val="0"/>
      <w:marTop w:val="0"/>
      <w:marBottom w:val="0"/>
      <w:divBdr>
        <w:top w:val="none" w:sz="0" w:space="0" w:color="auto"/>
        <w:left w:val="none" w:sz="0" w:space="0" w:color="auto"/>
        <w:bottom w:val="none" w:sz="0" w:space="0" w:color="auto"/>
        <w:right w:val="none" w:sz="0" w:space="0" w:color="auto"/>
      </w:divBdr>
    </w:div>
    <w:div w:id="1029836664">
      <w:bodyDiv w:val="1"/>
      <w:marLeft w:val="0"/>
      <w:marRight w:val="0"/>
      <w:marTop w:val="0"/>
      <w:marBottom w:val="0"/>
      <w:divBdr>
        <w:top w:val="none" w:sz="0" w:space="0" w:color="auto"/>
        <w:left w:val="none" w:sz="0" w:space="0" w:color="auto"/>
        <w:bottom w:val="none" w:sz="0" w:space="0" w:color="auto"/>
        <w:right w:val="none" w:sz="0" w:space="0" w:color="auto"/>
      </w:divBdr>
    </w:div>
    <w:div w:id="1036539100">
      <w:bodyDiv w:val="1"/>
      <w:marLeft w:val="0"/>
      <w:marRight w:val="0"/>
      <w:marTop w:val="0"/>
      <w:marBottom w:val="0"/>
      <w:divBdr>
        <w:top w:val="none" w:sz="0" w:space="0" w:color="auto"/>
        <w:left w:val="none" w:sz="0" w:space="0" w:color="auto"/>
        <w:bottom w:val="none" w:sz="0" w:space="0" w:color="auto"/>
        <w:right w:val="none" w:sz="0" w:space="0" w:color="auto"/>
      </w:divBdr>
    </w:div>
    <w:div w:id="1042292897">
      <w:bodyDiv w:val="1"/>
      <w:marLeft w:val="0"/>
      <w:marRight w:val="0"/>
      <w:marTop w:val="0"/>
      <w:marBottom w:val="0"/>
      <w:divBdr>
        <w:top w:val="none" w:sz="0" w:space="0" w:color="auto"/>
        <w:left w:val="none" w:sz="0" w:space="0" w:color="auto"/>
        <w:bottom w:val="none" w:sz="0" w:space="0" w:color="auto"/>
        <w:right w:val="none" w:sz="0" w:space="0" w:color="auto"/>
      </w:divBdr>
    </w:div>
    <w:div w:id="1083796245">
      <w:bodyDiv w:val="1"/>
      <w:marLeft w:val="0"/>
      <w:marRight w:val="0"/>
      <w:marTop w:val="0"/>
      <w:marBottom w:val="0"/>
      <w:divBdr>
        <w:top w:val="none" w:sz="0" w:space="0" w:color="auto"/>
        <w:left w:val="none" w:sz="0" w:space="0" w:color="auto"/>
        <w:bottom w:val="none" w:sz="0" w:space="0" w:color="auto"/>
        <w:right w:val="none" w:sz="0" w:space="0" w:color="auto"/>
      </w:divBdr>
    </w:div>
    <w:div w:id="1348825963">
      <w:bodyDiv w:val="1"/>
      <w:marLeft w:val="0"/>
      <w:marRight w:val="0"/>
      <w:marTop w:val="0"/>
      <w:marBottom w:val="0"/>
      <w:divBdr>
        <w:top w:val="none" w:sz="0" w:space="0" w:color="auto"/>
        <w:left w:val="none" w:sz="0" w:space="0" w:color="auto"/>
        <w:bottom w:val="none" w:sz="0" w:space="0" w:color="auto"/>
        <w:right w:val="none" w:sz="0" w:space="0" w:color="auto"/>
      </w:divBdr>
    </w:div>
    <w:div w:id="21066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8/s41572-019-0102-3%5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jfmpc.jfmpc_1328_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1037/tp.2019.10.02" TargetMode="External"/><Relationship Id="rId4" Type="http://schemas.openxmlformats.org/officeDocument/2006/relationships/settings" Target="settings.xml"/><Relationship Id="rId9" Type="http://schemas.openxmlformats.org/officeDocument/2006/relationships/hyperlink" Target="https://doi.org/10.1176/appi.books.97808904255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7A51A-6028-CC49-B788-6C06B541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1731</Words>
  <Characters>10618</Characters>
  <Application>Microsoft Office Word</Application>
  <DocSecurity>0</DocSecurity>
  <Lines>624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Wesson</dc:creator>
  <cp:keywords>1</cp:keywords>
  <dc:description/>
  <cp:lastModifiedBy>Bruce Nsubuga</cp:lastModifiedBy>
  <cp:revision>2</cp:revision>
  <dcterms:created xsi:type="dcterms:W3CDTF">2023-03-03T17:02:00Z</dcterms:created>
  <dcterms:modified xsi:type="dcterms:W3CDTF">2023-03-03T17:02:00Z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d06faf-70ac-4c7f-84b0-c1e68e34ee1f_Enabled">
    <vt:lpwstr>true</vt:lpwstr>
  </property>
  <property fmtid="{D5CDD505-2E9C-101B-9397-08002B2CF9AE}" pid="3" name="MSIP_Label_73d06faf-70ac-4c7f-84b0-c1e68e34ee1f_SetDate">
    <vt:lpwstr>2023-02-27T18:03:17Z</vt:lpwstr>
  </property>
  <property fmtid="{D5CDD505-2E9C-101B-9397-08002B2CF9AE}" pid="4" name="MSIP_Label_73d06faf-70ac-4c7f-84b0-c1e68e34ee1f_Method">
    <vt:lpwstr>Standard</vt:lpwstr>
  </property>
  <property fmtid="{D5CDD505-2E9C-101B-9397-08002B2CF9AE}" pid="5" name="MSIP_Label_73d06faf-70ac-4c7f-84b0-c1e68e34ee1f_Name">
    <vt:lpwstr>73d06faf-70ac-4c7f-84b0-c1e68e34ee1f</vt:lpwstr>
  </property>
  <property fmtid="{D5CDD505-2E9C-101B-9397-08002B2CF9AE}" pid="6" name="MSIP_Label_73d06faf-70ac-4c7f-84b0-c1e68e34ee1f_SiteId">
    <vt:lpwstr>9b45049c-b0db-452f-9f33-75b120b51c52</vt:lpwstr>
  </property>
  <property fmtid="{D5CDD505-2E9C-101B-9397-08002B2CF9AE}" pid="7" name="MSIP_Label_73d06faf-70ac-4c7f-84b0-c1e68e34ee1f_ActionId">
    <vt:lpwstr>14fdb75f-8dd3-40d8-ab58-ba6ace5b6714</vt:lpwstr>
  </property>
  <property fmtid="{D5CDD505-2E9C-101B-9397-08002B2CF9AE}" pid="8" name="MSIP_Label_73d06faf-70ac-4c7f-84b0-c1e68e34ee1f_ContentBits">
    <vt:lpwstr>0</vt:lpwstr>
  </property>
</Properties>
</file>