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15" w:rsidRPr="006E1DA1" w:rsidRDefault="00C17C93" w:rsidP="005F1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1DA1">
        <w:rPr>
          <w:rFonts w:ascii="Times New Roman" w:hAnsi="Times New Roman" w:cs="Times New Roman"/>
          <w:sz w:val="24"/>
          <w:szCs w:val="24"/>
        </w:rPr>
        <w:t>Hello</w:t>
      </w:r>
      <w:r w:rsidR="00CE2715" w:rsidRPr="006E1DA1">
        <w:rPr>
          <w:rFonts w:ascii="Times New Roman" w:hAnsi="Times New Roman" w:cs="Times New Roman"/>
          <w:sz w:val="24"/>
          <w:szCs w:val="24"/>
        </w:rPr>
        <w:t xml:space="preserve"> Group 5 </w:t>
      </w:r>
      <w:r w:rsidR="00FB18D3">
        <w:rPr>
          <w:rFonts w:ascii="Times New Roman" w:hAnsi="Times New Roman" w:cs="Times New Roman"/>
          <w:sz w:val="24"/>
          <w:szCs w:val="24"/>
        </w:rPr>
        <w:t>M</w:t>
      </w:r>
      <w:r w:rsidR="00CE2715" w:rsidRPr="006E1DA1">
        <w:rPr>
          <w:rFonts w:ascii="Times New Roman" w:hAnsi="Times New Roman" w:cs="Times New Roman"/>
          <w:sz w:val="24"/>
          <w:szCs w:val="24"/>
        </w:rPr>
        <w:t>embers,</w:t>
      </w:r>
    </w:p>
    <w:p w:rsidR="005362BD" w:rsidRPr="006E1DA1" w:rsidRDefault="005362BD" w:rsidP="005F1E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6E1DA1">
        <w:rPr>
          <w:rFonts w:ascii="Times New Roman" w:hAnsi="Times New Roman" w:cs="Times New Roman"/>
          <w:sz w:val="24"/>
          <w:szCs w:val="24"/>
        </w:rPr>
        <w:t xml:space="preserve">Great post. Evidence reveal that the two peaks of incidence of OCD </w:t>
      </w:r>
      <w:r w:rsidR="00E15FD3" w:rsidRPr="006E1DA1">
        <w:rPr>
          <w:rFonts w:ascii="Times New Roman" w:hAnsi="Times New Roman" w:cs="Times New Roman"/>
          <w:sz w:val="24"/>
          <w:szCs w:val="24"/>
        </w:rPr>
        <w:t xml:space="preserve">affects youth but the DSM-5 does not specify </w:t>
      </w:r>
      <w:r w:rsidR="007533CB" w:rsidRPr="006E1DA1">
        <w:rPr>
          <w:rFonts w:ascii="Times New Roman" w:hAnsi="Times New Roman" w:cs="Times New Roman"/>
          <w:sz w:val="24"/>
          <w:szCs w:val="24"/>
        </w:rPr>
        <w:t>the de</w:t>
      </w:r>
      <w:bookmarkStart w:id="0" w:name="_GoBack"/>
      <w:bookmarkEnd w:id="0"/>
      <w:r w:rsidR="007533CB" w:rsidRPr="006E1DA1">
        <w:rPr>
          <w:rFonts w:ascii="Times New Roman" w:hAnsi="Times New Roman" w:cs="Times New Roman"/>
          <w:sz w:val="24"/>
          <w:szCs w:val="24"/>
        </w:rPr>
        <w:t xml:space="preserve">velopmental subtype but rather includes two specifiers that apply in children and adolescents such as </w:t>
      </w:r>
      <w:r w:rsidR="007533CB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early- or pediatric-onset form of OCD</w:t>
      </w:r>
      <w:r w:rsidR="007D338A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the adult-onset form (</w:t>
      </w:r>
      <w:r w:rsidR="006E1DA1" w:rsidRPr="006E1DA1">
        <w:rPr>
          <w:rFonts w:ascii="Times New Roman" w:hAnsi="Times New Roman" w:cs="Times New Roman"/>
          <w:sz w:val="24"/>
          <w:szCs w:val="24"/>
          <w:shd w:val="clear" w:color="auto" w:fill="FFFFFF"/>
        </w:rPr>
        <w:t>Geller</w:t>
      </w:r>
      <w:r w:rsidR="006E1DA1" w:rsidRPr="006E1D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7D338A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). Children and adolescents </w:t>
      </w:r>
      <w:r w:rsidR="008B349E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exhibit pre-pubertal onset of their onsets as early as 6 years of age displaying distinct pattern of symptoms and array of concurrent </w:t>
      </w:r>
      <w:r w:rsidR="006F358A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psychopathology and neuropsychological function. For instance, </w:t>
      </w:r>
      <w:r w:rsidR="0011129F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pre</w:t>
      </w:r>
      <w:r w:rsidR="00FB46BD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-</w:t>
      </w:r>
      <w:r w:rsidR="0011129F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s</w:t>
      </w:r>
      <w:r w:rsidR="00FB46BD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c</w:t>
      </w:r>
      <w:r w:rsidR="0011129F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hool-age children exhibit ritualistic behaviors either at bedtime or </w:t>
      </w:r>
      <w:r w:rsidR="00FB46BD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mealtime</w:t>
      </w:r>
      <w:r w:rsidR="0011129F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providing familiarity</w:t>
      </w:r>
      <w:r w:rsidR="00341F57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comfort</w:t>
      </w:r>
      <w:r w:rsidR="0011129F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but not disruptive </w:t>
      </w:r>
      <w:r w:rsidR="00341F57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behavior and cab be managed easily within family structure. </w:t>
      </w:r>
      <w:r w:rsidR="00E16F56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As such, excessive and </w:t>
      </w:r>
      <w:r w:rsidR="00FB46BD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insistence rituals</w:t>
      </w:r>
      <w:r w:rsidR="00E16F56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are indicators and red flags for </w:t>
      </w:r>
      <w:r w:rsidR="00C61C63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OCD in later childhood (</w:t>
      </w:r>
      <w:r w:rsidR="006E1DA1" w:rsidRPr="006E1DA1">
        <w:rPr>
          <w:rFonts w:ascii="Times New Roman" w:hAnsi="Times New Roman" w:cs="Times New Roman"/>
          <w:sz w:val="24"/>
          <w:szCs w:val="24"/>
          <w:shd w:val="clear" w:color="auto" w:fill="FFFFFF"/>
        </w:rPr>
        <w:t>Geller et al., 2021</w:t>
      </w:r>
      <w:r w:rsidR="00C61C63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). It is crucial to note that normal development is linked to more reality apprehension</w:t>
      </w:r>
      <w:r w:rsidR="00BF36CB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causality before the most </w:t>
      </w:r>
      <w:r w:rsidR="00FB46BD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children</w:t>
      </w:r>
      <w:r w:rsidR="00BF36CB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exhibit OCD onset (eight years old </w:t>
      </w:r>
      <w:r w:rsidR="00FB46BD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or older</w:t>
      </w:r>
      <w:r w:rsidR="00BF36CB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>)</w:t>
      </w:r>
      <w:r w:rsidR="00FB46BD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characterized by persistent magical thinking</w:t>
      </w:r>
      <w:r w:rsidR="00F71870" w:rsidRPr="006E1DA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which is unusual.</w:t>
      </w:r>
    </w:p>
    <w:p w:rsidR="00F71870" w:rsidRPr="006E1DA1" w:rsidRDefault="001B3518" w:rsidP="005F1E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E1DA1">
        <w:rPr>
          <w:rFonts w:ascii="Times New Roman" w:hAnsi="Times New Roman" w:cs="Times New Roman"/>
          <w:sz w:val="24"/>
          <w:szCs w:val="24"/>
        </w:rPr>
        <w:t xml:space="preserve">As mentioned, the treatment of OCD involves </w:t>
      </w:r>
      <w:r w:rsidR="00FE6F4F" w:rsidRPr="006E1DA1">
        <w:rPr>
          <w:rFonts w:ascii="Times New Roman" w:hAnsi="Times New Roman" w:cs="Times New Roman"/>
          <w:sz w:val="24"/>
          <w:szCs w:val="24"/>
        </w:rPr>
        <w:t>CBT and SSRIs as the recommended phar</w:t>
      </w:r>
      <w:r w:rsidR="002D626C" w:rsidRPr="006E1DA1">
        <w:rPr>
          <w:rFonts w:ascii="Times New Roman" w:hAnsi="Times New Roman" w:cs="Times New Roman"/>
          <w:sz w:val="24"/>
          <w:szCs w:val="24"/>
        </w:rPr>
        <w:t>ma</w:t>
      </w:r>
      <w:r w:rsidR="00FE6F4F" w:rsidRPr="006E1DA1">
        <w:rPr>
          <w:rFonts w:ascii="Times New Roman" w:hAnsi="Times New Roman" w:cs="Times New Roman"/>
          <w:sz w:val="24"/>
          <w:szCs w:val="24"/>
        </w:rPr>
        <w:t>cotherap</w:t>
      </w:r>
      <w:r w:rsidR="00BF34CA" w:rsidRPr="006E1DA1">
        <w:rPr>
          <w:rFonts w:ascii="Times New Roman" w:hAnsi="Times New Roman" w:cs="Times New Roman"/>
          <w:sz w:val="24"/>
          <w:szCs w:val="24"/>
        </w:rPr>
        <w:t xml:space="preserve">eutic approaches. It is crucial to note that there is high prevalence rate of comorbid </w:t>
      </w:r>
      <w:r w:rsidR="002D626C" w:rsidRPr="006E1DA1">
        <w:rPr>
          <w:rFonts w:ascii="Times New Roman" w:hAnsi="Times New Roman" w:cs="Times New Roman"/>
          <w:sz w:val="24"/>
          <w:szCs w:val="24"/>
        </w:rPr>
        <w:t>psychiatric</w:t>
      </w:r>
      <w:r w:rsidR="00BF34CA" w:rsidRPr="006E1DA1">
        <w:rPr>
          <w:rFonts w:ascii="Times New Roman" w:hAnsi="Times New Roman" w:cs="Times New Roman"/>
          <w:sz w:val="24"/>
          <w:szCs w:val="24"/>
        </w:rPr>
        <w:t xml:space="preserve"> disorders associated with OCD in </w:t>
      </w:r>
      <w:r w:rsidR="002D626C" w:rsidRPr="006E1DA1">
        <w:rPr>
          <w:rFonts w:ascii="Times New Roman" w:hAnsi="Times New Roman" w:cs="Times New Roman"/>
          <w:sz w:val="24"/>
          <w:szCs w:val="24"/>
        </w:rPr>
        <w:t xml:space="preserve">youth, clinically and non-refereed epidemiological associates. As a result, these present </w:t>
      </w:r>
      <w:r w:rsidR="00271FCF" w:rsidRPr="006E1DA1">
        <w:rPr>
          <w:rFonts w:ascii="Times New Roman" w:hAnsi="Times New Roman" w:cs="Times New Roman"/>
          <w:sz w:val="24"/>
          <w:szCs w:val="24"/>
        </w:rPr>
        <w:t xml:space="preserve">real challenges in treatment where each comorbid condition diverge markedly regardless </w:t>
      </w:r>
      <w:r w:rsidR="00F43E04" w:rsidRPr="006E1DA1">
        <w:rPr>
          <w:rFonts w:ascii="Times New Roman" w:hAnsi="Times New Roman" w:cs="Times New Roman"/>
          <w:sz w:val="24"/>
          <w:szCs w:val="24"/>
        </w:rPr>
        <w:t>of frequent triad of these conditions that increase the risk of behavioral activation and suicidal ideation upon use of SSRIs in youths (</w:t>
      </w:r>
      <w:r w:rsidR="005F1EAB">
        <w:rPr>
          <w:rFonts w:ascii="Arial" w:hAnsi="Arial" w:cs="Arial"/>
          <w:color w:val="222222"/>
          <w:sz w:val="20"/>
          <w:szCs w:val="20"/>
          <w:shd w:val="clear" w:color="auto" w:fill="FFFFFF"/>
        </w:rPr>
        <w:t>Nazeer</w:t>
      </w:r>
      <w:r w:rsidR="005F1EA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et al., 2020</w:t>
      </w:r>
      <w:r w:rsidR="00F43E04" w:rsidRPr="006E1DA1">
        <w:rPr>
          <w:rFonts w:ascii="Times New Roman" w:hAnsi="Times New Roman" w:cs="Times New Roman"/>
          <w:sz w:val="24"/>
          <w:szCs w:val="24"/>
        </w:rPr>
        <w:t xml:space="preserve">). </w:t>
      </w:r>
      <w:r w:rsidR="00EF13A4" w:rsidRPr="006E1DA1">
        <w:rPr>
          <w:rFonts w:ascii="Times New Roman" w:hAnsi="Times New Roman" w:cs="Times New Roman"/>
          <w:sz w:val="24"/>
          <w:szCs w:val="24"/>
        </w:rPr>
        <w:t>Notably, the use of SSRIs potentially increases the risk of anxiety, obsessions</w:t>
      </w:r>
      <w:r w:rsidR="00DA2ADB" w:rsidRPr="006E1DA1">
        <w:rPr>
          <w:rFonts w:ascii="Times New Roman" w:hAnsi="Times New Roman" w:cs="Times New Roman"/>
          <w:sz w:val="24"/>
          <w:szCs w:val="24"/>
        </w:rPr>
        <w:t xml:space="preserve">, risk of adverse mood effects associated with alpha agonists increasing the complexity of OCD in youths. </w:t>
      </w:r>
      <w:r w:rsidR="00305CCA" w:rsidRPr="006E1DA1">
        <w:rPr>
          <w:rFonts w:ascii="Times New Roman" w:hAnsi="Times New Roman" w:cs="Times New Roman"/>
          <w:sz w:val="24"/>
          <w:szCs w:val="24"/>
        </w:rPr>
        <w:t xml:space="preserve">In addition, poor treatment outcomes are associated with high levels </w:t>
      </w:r>
      <w:r w:rsidR="00215976" w:rsidRPr="006E1DA1">
        <w:rPr>
          <w:rFonts w:ascii="Times New Roman" w:hAnsi="Times New Roman" w:cs="Times New Roman"/>
          <w:sz w:val="24"/>
          <w:szCs w:val="24"/>
        </w:rPr>
        <w:t>of family</w:t>
      </w:r>
      <w:r w:rsidR="00305CCA" w:rsidRPr="006E1DA1">
        <w:rPr>
          <w:rFonts w:ascii="Times New Roman" w:hAnsi="Times New Roman" w:cs="Times New Roman"/>
          <w:sz w:val="24"/>
          <w:szCs w:val="24"/>
        </w:rPr>
        <w:t xml:space="preserve"> </w:t>
      </w:r>
      <w:r w:rsidR="00E4383B" w:rsidRPr="006E1DA1">
        <w:rPr>
          <w:rFonts w:ascii="Times New Roman" w:hAnsi="Times New Roman" w:cs="Times New Roman"/>
          <w:sz w:val="24"/>
          <w:szCs w:val="24"/>
        </w:rPr>
        <w:t xml:space="preserve">accommodation and concurrent psychopathology that negative influence </w:t>
      </w:r>
      <w:r w:rsidR="00E4383B" w:rsidRPr="006E1DA1">
        <w:rPr>
          <w:rFonts w:ascii="Times New Roman" w:hAnsi="Times New Roman" w:cs="Times New Roman"/>
          <w:sz w:val="24"/>
          <w:szCs w:val="24"/>
        </w:rPr>
        <w:lastRenderedPageBreak/>
        <w:t xml:space="preserve">response rate. </w:t>
      </w:r>
      <w:r w:rsidR="00FA183C">
        <w:rPr>
          <w:rFonts w:ascii="Times New Roman" w:hAnsi="Times New Roman" w:cs="Times New Roman"/>
          <w:sz w:val="24"/>
          <w:szCs w:val="24"/>
        </w:rPr>
        <w:t>As such, it is crucial to conduct a thorough medical history, physical examination and dia</w:t>
      </w:r>
      <w:r w:rsidR="00D32DAD">
        <w:rPr>
          <w:rFonts w:ascii="Times New Roman" w:hAnsi="Times New Roman" w:cs="Times New Roman"/>
          <w:sz w:val="24"/>
          <w:szCs w:val="24"/>
        </w:rPr>
        <w:t>gnostic interviews with psychological assessment using diagnostic tools (</w:t>
      </w:r>
      <w:r w:rsidR="005F1EAB">
        <w:rPr>
          <w:rFonts w:ascii="Arial" w:hAnsi="Arial" w:cs="Arial"/>
          <w:color w:val="222222"/>
          <w:sz w:val="20"/>
          <w:szCs w:val="20"/>
          <w:shd w:val="clear" w:color="auto" w:fill="FFFFFF"/>
        </w:rPr>
        <w:t>Nazeer et al., 2020</w:t>
      </w:r>
      <w:r w:rsidR="00D32DAD">
        <w:rPr>
          <w:rFonts w:ascii="Times New Roman" w:hAnsi="Times New Roman" w:cs="Times New Roman"/>
          <w:sz w:val="24"/>
          <w:szCs w:val="24"/>
        </w:rPr>
        <w:t>).</w:t>
      </w:r>
    </w:p>
    <w:p w:rsidR="00215976" w:rsidRPr="005F1EAB" w:rsidRDefault="00215976" w:rsidP="005F1E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EA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15976" w:rsidRPr="005F1EAB" w:rsidRDefault="00215976" w:rsidP="005F1EA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1EAB">
        <w:rPr>
          <w:rFonts w:ascii="Times New Roman" w:hAnsi="Times New Roman" w:cs="Times New Roman"/>
          <w:sz w:val="24"/>
          <w:szCs w:val="24"/>
          <w:shd w:val="clear" w:color="auto" w:fill="FFFFFF"/>
        </w:rPr>
        <w:t>Geller, D. A., Homayoun, S., &amp; Johnson, G. (2021). Developmental considerations in obsessive compulsive disorder: comparing pediatric and adult-onset cases. </w:t>
      </w:r>
      <w:r w:rsidRPr="005F1EA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Psychiatry</w:t>
      </w:r>
      <w:r w:rsidRPr="005F1EAB">
        <w:rPr>
          <w:rFonts w:ascii="Times New Roman" w:hAnsi="Times New Roman" w:cs="Times New Roman"/>
          <w:sz w:val="24"/>
          <w:szCs w:val="24"/>
          <w:shd w:val="clear" w:color="auto" w:fill="FFFFFF"/>
        </w:rPr>
        <w:t>, 918.</w:t>
      </w:r>
      <w:r w:rsidRPr="005F1EA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5F1EAB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  <w:shd w:val="clear" w:color="auto" w:fill="FFFFFF"/>
          </w:rPr>
          <w:t>https://doi.org/10.3389/fpsyt.2021.678538</w:t>
        </w:r>
      </w:hyperlink>
      <w:r w:rsidRPr="005F1EAB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  <w:t xml:space="preserve"> </w:t>
      </w:r>
    </w:p>
    <w:p w:rsidR="00D32DAD" w:rsidRPr="005F1EAB" w:rsidRDefault="00D32DAD" w:rsidP="005F1EA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1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Nazeer, A., Latif, F., Mondal, A., Azeem, M. W., &amp; </w:t>
      </w:r>
      <w:proofErr w:type="spellStart"/>
      <w:r w:rsidRPr="005F1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Greydanus</w:t>
      </w:r>
      <w:proofErr w:type="spellEnd"/>
      <w:r w:rsidRPr="005F1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E. (2020). Obsessive-compulsive disorder in children and adolescents: epidemiology, diagnosis and management. </w:t>
      </w:r>
      <w:r w:rsidRPr="005F1E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Translational pediatrics</w:t>
      </w:r>
      <w:r w:rsidRPr="005F1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1EA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5F1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1), S76.</w:t>
      </w:r>
      <w:r w:rsidRPr="005F1EA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F1EA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https://doi.org/10.21037%2Ftp.2019.10.02</w:t>
        </w:r>
      </w:hyperlink>
      <w:r w:rsidRPr="005F1E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D32DAD" w:rsidRPr="005F1EAB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93"/>
    <w:rsid w:val="000A1E7A"/>
    <w:rsid w:val="0011129F"/>
    <w:rsid w:val="001B3518"/>
    <w:rsid w:val="00215976"/>
    <w:rsid w:val="00271FCF"/>
    <w:rsid w:val="002D626C"/>
    <w:rsid w:val="00304FC9"/>
    <w:rsid w:val="00305CCA"/>
    <w:rsid w:val="00341F57"/>
    <w:rsid w:val="005362BD"/>
    <w:rsid w:val="005F1EAB"/>
    <w:rsid w:val="005F6411"/>
    <w:rsid w:val="006E1DA1"/>
    <w:rsid w:val="006F358A"/>
    <w:rsid w:val="007533CB"/>
    <w:rsid w:val="007B68CE"/>
    <w:rsid w:val="007D338A"/>
    <w:rsid w:val="008B349E"/>
    <w:rsid w:val="00BF34CA"/>
    <w:rsid w:val="00BF36CB"/>
    <w:rsid w:val="00C17C93"/>
    <w:rsid w:val="00C61C63"/>
    <w:rsid w:val="00CE2715"/>
    <w:rsid w:val="00D32DAD"/>
    <w:rsid w:val="00DA2ADB"/>
    <w:rsid w:val="00E15FD3"/>
    <w:rsid w:val="00E16F56"/>
    <w:rsid w:val="00E4383B"/>
    <w:rsid w:val="00EF13A4"/>
    <w:rsid w:val="00F43E04"/>
    <w:rsid w:val="00F71870"/>
    <w:rsid w:val="00FA183C"/>
    <w:rsid w:val="00FB18D3"/>
    <w:rsid w:val="00FB46BD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3DB9"/>
  <w15:chartTrackingRefBased/>
  <w15:docId w15:val="{5DECCEFB-8D4C-4460-B698-898A0DE9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1037%2Ftp.2019.10.02" TargetMode="External"/><Relationship Id="rId4" Type="http://schemas.openxmlformats.org/officeDocument/2006/relationships/hyperlink" Target="https://doi.org/10.3389/fpsyt.2021.67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2023-03-04T03:44:00Z</dcterms:created>
  <dcterms:modified xsi:type="dcterms:W3CDTF">2023-03-04T04:22:00Z</dcterms:modified>
</cp:coreProperties>
</file>