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07AE3" w14:textId="73FCC8D3" w:rsidR="00151DFF" w:rsidRPr="006F6894" w:rsidRDefault="00151DFF" w:rsidP="006F6894">
      <w:pPr>
        <w:pStyle w:val="GrandCanyonBodyText"/>
        <w:spacing w:after="0" w:line="480" w:lineRule="auto"/>
        <w:ind w:firstLine="0"/>
        <w:jc w:val="center"/>
        <w:rPr>
          <w:rFonts w:cs="Times New Roman"/>
          <w:b/>
          <w:szCs w:val="24"/>
        </w:rPr>
      </w:pPr>
      <w:r w:rsidRPr="006F6894">
        <w:rPr>
          <w:rFonts w:cs="Times New Roman"/>
          <w:b/>
          <w:szCs w:val="24"/>
        </w:rPr>
        <w:t>Community Teaching Work Plan Propos</w:t>
      </w:r>
      <w:r w:rsidR="00667238" w:rsidRPr="006F6894">
        <w:rPr>
          <w:rFonts w:cs="Times New Roman"/>
          <w:b/>
          <w:szCs w:val="24"/>
        </w:rPr>
        <w:t>al</w:t>
      </w:r>
    </w:p>
    <w:p w14:paraId="224ADEE0" w14:textId="18795C9F" w:rsidR="008A1B93" w:rsidRPr="006F6894" w:rsidRDefault="009177BC" w:rsidP="006F6894">
      <w:pPr>
        <w:pStyle w:val="GrandCanyonBodyText"/>
        <w:spacing w:after="0" w:line="480" w:lineRule="auto"/>
        <w:ind w:firstLine="0"/>
        <w:rPr>
          <w:rFonts w:cs="Times New Roman"/>
          <w:b/>
          <w:szCs w:val="24"/>
        </w:rPr>
      </w:pPr>
      <w:r w:rsidRPr="006F6894">
        <w:rPr>
          <w:rFonts w:cs="Times New Roman"/>
          <w:b/>
          <w:szCs w:val="24"/>
        </w:rPr>
        <w:t xml:space="preserve">Planning and </w:t>
      </w:r>
      <w:r w:rsidR="008A1B93" w:rsidRPr="006F6894">
        <w:rPr>
          <w:rFonts w:cs="Times New Roman"/>
          <w:b/>
          <w:szCs w:val="24"/>
        </w:rPr>
        <w:t>Topic</w:t>
      </w:r>
    </w:p>
    <w:p w14:paraId="0E571F13" w14:textId="757EF35B" w:rsidR="00151DFF" w:rsidRPr="006F6894" w:rsidRDefault="00151DFF" w:rsidP="006F6894">
      <w:pPr>
        <w:pStyle w:val="GrandCanyonBodyText"/>
        <w:spacing w:after="0" w:line="480" w:lineRule="auto"/>
        <w:ind w:firstLine="0"/>
        <w:rPr>
          <w:rFonts w:cs="Times New Roman"/>
          <w:szCs w:val="24"/>
        </w:rPr>
      </w:pPr>
      <w:r w:rsidRPr="006F6894">
        <w:rPr>
          <w:rFonts w:cs="Times New Roman"/>
          <w:b/>
          <w:szCs w:val="24"/>
        </w:rPr>
        <w:t>Directions:</w:t>
      </w:r>
      <w:r w:rsidRPr="006F6894">
        <w:rPr>
          <w:rFonts w:cs="Times New Roman"/>
          <w:szCs w:val="24"/>
        </w:rPr>
        <w:t xml:space="preserve"> Develop an educational series proposal for your community using one of the following four topics: </w:t>
      </w:r>
    </w:p>
    <w:p w14:paraId="3F4FCFC1" w14:textId="77777777" w:rsidR="00151DFF" w:rsidRPr="006F6894" w:rsidRDefault="00151DFF" w:rsidP="006F6894">
      <w:pPr>
        <w:pStyle w:val="GrandCanyonBodyText"/>
        <w:numPr>
          <w:ilvl w:val="0"/>
          <w:numId w:val="8"/>
        </w:numPr>
        <w:spacing w:after="0" w:line="480" w:lineRule="auto"/>
        <w:rPr>
          <w:rFonts w:cs="Times New Roman"/>
          <w:szCs w:val="24"/>
        </w:rPr>
      </w:pPr>
      <w:r w:rsidRPr="006F6894">
        <w:rPr>
          <w:rFonts w:cs="Times New Roman"/>
          <w:szCs w:val="24"/>
        </w:rPr>
        <w:t xml:space="preserve">Bioterrorism/Disaster </w:t>
      </w:r>
    </w:p>
    <w:p w14:paraId="73E1ED43" w14:textId="77777777" w:rsidR="00151DFF" w:rsidRPr="006F6894" w:rsidRDefault="00151DFF" w:rsidP="006F6894">
      <w:pPr>
        <w:pStyle w:val="GrandCanyonBodyText"/>
        <w:numPr>
          <w:ilvl w:val="0"/>
          <w:numId w:val="8"/>
        </w:numPr>
        <w:spacing w:after="0" w:line="480" w:lineRule="auto"/>
        <w:rPr>
          <w:rFonts w:cs="Times New Roman"/>
          <w:szCs w:val="24"/>
        </w:rPr>
      </w:pPr>
      <w:r w:rsidRPr="006F6894">
        <w:rPr>
          <w:rFonts w:cs="Times New Roman"/>
          <w:szCs w:val="24"/>
        </w:rPr>
        <w:t xml:space="preserve">Environmental Issues </w:t>
      </w:r>
    </w:p>
    <w:p w14:paraId="3D580E7D" w14:textId="77777777" w:rsidR="00151DFF" w:rsidRPr="006F6894" w:rsidRDefault="00151DFF" w:rsidP="006F6894">
      <w:pPr>
        <w:pStyle w:val="GrandCanyonBodyText"/>
        <w:numPr>
          <w:ilvl w:val="0"/>
          <w:numId w:val="8"/>
        </w:numPr>
        <w:spacing w:after="0" w:line="480" w:lineRule="auto"/>
        <w:rPr>
          <w:rFonts w:cs="Times New Roman"/>
          <w:szCs w:val="24"/>
        </w:rPr>
      </w:pPr>
      <w:r w:rsidRPr="006F6894">
        <w:rPr>
          <w:rFonts w:cs="Times New Roman"/>
          <w:szCs w:val="24"/>
        </w:rPr>
        <w:t xml:space="preserve">Primary Prevention/Health Promotion </w:t>
      </w:r>
    </w:p>
    <w:p w14:paraId="7630A181" w14:textId="77777777" w:rsidR="00151DFF" w:rsidRPr="006F6894" w:rsidRDefault="00151DFF" w:rsidP="006F6894">
      <w:pPr>
        <w:pStyle w:val="GrandCanyonBodyText"/>
        <w:numPr>
          <w:ilvl w:val="0"/>
          <w:numId w:val="8"/>
        </w:numPr>
        <w:spacing w:after="0" w:line="480" w:lineRule="auto"/>
        <w:rPr>
          <w:rFonts w:cs="Times New Roman"/>
          <w:b/>
          <w:szCs w:val="24"/>
        </w:rPr>
      </w:pPr>
      <w:r w:rsidRPr="006F6894">
        <w:rPr>
          <w:rFonts w:cs="Times New Roman"/>
          <w:b/>
          <w:szCs w:val="24"/>
        </w:rPr>
        <w:t xml:space="preserve">Secondary Prevention/Screenings for a Vulnerable Population </w:t>
      </w:r>
    </w:p>
    <w:p w14:paraId="42B0D8BC" w14:textId="77777777" w:rsidR="00151DFF" w:rsidRPr="006F6894" w:rsidRDefault="00151DFF" w:rsidP="006F6894">
      <w:pPr>
        <w:pStyle w:val="GrandCanyonBodyText"/>
        <w:spacing w:after="0" w:line="480" w:lineRule="auto"/>
        <w:ind w:firstLine="0"/>
        <w:rPr>
          <w:rFonts w:cs="Times New Roman"/>
          <w:b/>
          <w:szCs w:val="24"/>
        </w:rPr>
      </w:pPr>
      <w:r w:rsidRPr="006F6894">
        <w:rPr>
          <w:rFonts w:cs="Times New Roman"/>
          <w:b/>
          <w:szCs w:val="24"/>
        </w:rPr>
        <w:t>Planning Before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788"/>
      </w:tblGrid>
      <w:tr w:rsidR="00151DFF" w:rsidRPr="006F6894" w14:paraId="5D497FFA" w14:textId="77777777" w:rsidTr="00FF1E1B">
        <w:trPr>
          <w:trHeight w:val="413"/>
        </w:trPr>
        <w:tc>
          <w:tcPr>
            <w:tcW w:w="8856" w:type="dxa"/>
            <w:gridSpan w:val="2"/>
          </w:tcPr>
          <w:p w14:paraId="15777C57" w14:textId="77777777" w:rsidR="00151DFF" w:rsidRPr="006F6894" w:rsidRDefault="00151DFF" w:rsidP="006F6894">
            <w:pPr>
              <w:pStyle w:val="GrandCanyonBodyText"/>
              <w:spacing w:after="0" w:line="480" w:lineRule="auto"/>
              <w:ind w:firstLine="0"/>
              <w:rPr>
                <w:rFonts w:cs="Times New Roman"/>
                <w:szCs w:val="24"/>
              </w:rPr>
            </w:pPr>
            <w:r w:rsidRPr="006F6894">
              <w:rPr>
                <w:rFonts w:cs="Times New Roman"/>
                <w:szCs w:val="24"/>
              </w:rPr>
              <w:t>Name and Credentials of Teacher:</w:t>
            </w:r>
          </w:p>
          <w:p w14:paraId="23E9D97E" w14:textId="77777777" w:rsidR="00151DFF" w:rsidRPr="006F6894" w:rsidRDefault="00151DFF" w:rsidP="006F6894">
            <w:pPr>
              <w:pStyle w:val="GrandCanyonBodyText"/>
              <w:spacing w:after="0" w:line="480" w:lineRule="auto"/>
              <w:ind w:firstLine="0"/>
              <w:rPr>
                <w:rFonts w:cs="Times New Roman"/>
                <w:szCs w:val="24"/>
              </w:rPr>
            </w:pPr>
          </w:p>
        </w:tc>
      </w:tr>
      <w:tr w:rsidR="00151DFF" w:rsidRPr="006F6894" w14:paraId="3D37C5F5" w14:textId="77777777" w:rsidTr="00C22C33">
        <w:tc>
          <w:tcPr>
            <w:tcW w:w="4068" w:type="dxa"/>
          </w:tcPr>
          <w:p w14:paraId="67BF856A" w14:textId="75573B65" w:rsidR="00151DFF" w:rsidRPr="006F6894" w:rsidRDefault="00151DFF" w:rsidP="006F6894">
            <w:pPr>
              <w:pStyle w:val="GrandCanyonBodyText"/>
              <w:spacing w:after="0" w:line="480" w:lineRule="auto"/>
              <w:ind w:firstLine="0"/>
              <w:rPr>
                <w:rFonts w:cs="Times New Roman"/>
                <w:szCs w:val="24"/>
              </w:rPr>
            </w:pPr>
            <w:r w:rsidRPr="006F6894">
              <w:rPr>
                <w:rFonts w:cs="Times New Roman"/>
                <w:szCs w:val="24"/>
              </w:rPr>
              <w:t>Estimated Time Teaching Will Last:</w:t>
            </w:r>
            <w:r w:rsidR="00942D70" w:rsidRPr="006F6894">
              <w:rPr>
                <w:rFonts w:cs="Times New Roman"/>
                <w:szCs w:val="24"/>
              </w:rPr>
              <w:t xml:space="preserve"> 50 minutes</w:t>
            </w:r>
          </w:p>
        </w:tc>
        <w:tc>
          <w:tcPr>
            <w:tcW w:w="4788" w:type="dxa"/>
          </w:tcPr>
          <w:p w14:paraId="396E2D6B" w14:textId="753997B7" w:rsidR="00151DFF" w:rsidRPr="006F6894" w:rsidRDefault="00151DFF" w:rsidP="006F6894">
            <w:pPr>
              <w:pStyle w:val="GrandCanyonBodyText"/>
              <w:spacing w:after="0" w:line="480" w:lineRule="auto"/>
              <w:ind w:firstLine="0"/>
              <w:rPr>
                <w:rFonts w:cs="Times New Roman"/>
                <w:szCs w:val="24"/>
              </w:rPr>
            </w:pPr>
            <w:r w:rsidRPr="006F6894">
              <w:rPr>
                <w:rFonts w:cs="Times New Roman"/>
                <w:szCs w:val="24"/>
              </w:rPr>
              <w:t>Location of Teaching:</w:t>
            </w:r>
            <w:r w:rsidR="00942D70" w:rsidRPr="006F6894">
              <w:rPr>
                <w:rFonts w:cs="Times New Roman"/>
                <w:szCs w:val="24"/>
              </w:rPr>
              <w:t xml:space="preserve"> Care facility </w:t>
            </w:r>
          </w:p>
          <w:p w14:paraId="52D129A7" w14:textId="77777777" w:rsidR="00151DFF" w:rsidRPr="006F6894" w:rsidRDefault="00151DFF" w:rsidP="006F6894">
            <w:pPr>
              <w:pStyle w:val="GrandCanyonBodyText"/>
              <w:spacing w:after="0" w:line="480" w:lineRule="auto"/>
              <w:ind w:firstLine="0"/>
              <w:rPr>
                <w:rFonts w:cs="Times New Roman"/>
                <w:szCs w:val="24"/>
              </w:rPr>
            </w:pPr>
          </w:p>
        </w:tc>
      </w:tr>
      <w:tr w:rsidR="00151DFF" w:rsidRPr="006F6894" w14:paraId="5458E80B" w14:textId="77777777" w:rsidTr="00C22C33">
        <w:tc>
          <w:tcPr>
            <w:tcW w:w="4068" w:type="dxa"/>
          </w:tcPr>
          <w:p w14:paraId="1FB21D20" w14:textId="061EDFF6" w:rsidR="00151DFF" w:rsidRPr="006F6894" w:rsidRDefault="00151DFF" w:rsidP="006F6894">
            <w:pPr>
              <w:pStyle w:val="GrandCanyonBodyText"/>
              <w:spacing w:after="0" w:line="480" w:lineRule="auto"/>
              <w:ind w:firstLine="0"/>
              <w:rPr>
                <w:rFonts w:cs="Times New Roman"/>
                <w:szCs w:val="24"/>
              </w:rPr>
            </w:pPr>
            <w:r w:rsidRPr="006F6894">
              <w:rPr>
                <w:rFonts w:cs="Times New Roman"/>
                <w:szCs w:val="24"/>
              </w:rPr>
              <w:t>Supplies, Material</w:t>
            </w:r>
            <w:r w:rsidR="00A81D53" w:rsidRPr="006F6894">
              <w:rPr>
                <w:rFonts w:cs="Times New Roman"/>
                <w:szCs w:val="24"/>
              </w:rPr>
              <w:t>s</w:t>
            </w:r>
            <w:r w:rsidRPr="006F6894">
              <w:rPr>
                <w:rFonts w:cs="Times New Roman"/>
                <w:szCs w:val="24"/>
              </w:rPr>
              <w:t>, Equipment Needed:</w:t>
            </w:r>
            <w:r w:rsidR="00942D70" w:rsidRPr="006F6894">
              <w:rPr>
                <w:rFonts w:cs="Times New Roman"/>
                <w:szCs w:val="24"/>
              </w:rPr>
              <w:t xml:space="preserve"> P</w:t>
            </w:r>
            <w:r w:rsidR="00942D70" w:rsidRPr="006F6894">
              <w:rPr>
                <w:rFonts w:cs="Times New Roman"/>
                <w:szCs w:val="24"/>
              </w:rPr>
              <w:t>amphlets, laptops, FRAX forms, and a projector.</w:t>
            </w:r>
          </w:p>
        </w:tc>
        <w:tc>
          <w:tcPr>
            <w:tcW w:w="4788" w:type="dxa"/>
          </w:tcPr>
          <w:p w14:paraId="0F14154B" w14:textId="62BB5C2A" w:rsidR="00151DFF" w:rsidRPr="006F6894" w:rsidRDefault="00151DFF" w:rsidP="006F6894">
            <w:pPr>
              <w:pStyle w:val="GrandCanyonBodyText"/>
              <w:spacing w:after="0" w:line="480" w:lineRule="auto"/>
              <w:ind w:firstLine="0"/>
              <w:rPr>
                <w:rFonts w:cs="Times New Roman"/>
                <w:szCs w:val="24"/>
              </w:rPr>
            </w:pPr>
            <w:r w:rsidRPr="006F6894">
              <w:rPr>
                <w:rFonts w:cs="Times New Roman"/>
                <w:szCs w:val="24"/>
              </w:rPr>
              <w:t>Estimated Cost:</w:t>
            </w:r>
            <w:r w:rsidR="00942D70" w:rsidRPr="006F6894">
              <w:rPr>
                <w:rFonts w:cs="Times New Roman"/>
                <w:szCs w:val="24"/>
              </w:rPr>
              <w:t xml:space="preserve"> $50</w:t>
            </w:r>
          </w:p>
          <w:p w14:paraId="1081885C" w14:textId="77777777" w:rsidR="00151DFF" w:rsidRPr="006F6894" w:rsidRDefault="00151DFF" w:rsidP="006F6894">
            <w:pPr>
              <w:pStyle w:val="GrandCanyonBodyText"/>
              <w:spacing w:after="0" w:line="480" w:lineRule="auto"/>
              <w:ind w:firstLine="0"/>
              <w:rPr>
                <w:rFonts w:cs="Times New Roman"/>
                <w:szCs w:val="24"/>
              </w:rPr>
            </w:pPr>
          </w:p>
        </w:tc>
      </w:tr>
      <w:tr w:rsidR="00151DFF" w:rsidRPr="006F6894" w14:paraId="6AD48CAE" w14:textId="77777777" w:rsidTr="00FF1E1B">
        <w:tc>
          <w:tcPr>
            <w:tcW w:w="8856" w:type="dxa"/>
            <w:gridSpan w:val="2"/>
          </w:tcPr>
          <w:p w14:paraId="71CAD7CB" w14:textId="141A100C" w:rsidR="00151DFF" w:rsidRPr="006F6894" w:rsidRDefault="00151DFF" w:rsidP="006F6894">
            <w:pPr>
              <w:pStyle w:val="GrandCanyonBodyText"/>
              <w:spacing w:after="0" w:line="480" w:lineRule="auto"/>
              <w:ind w:firstLine="0"/>
              <w:rPr>
                <w:rFonts w:cs="Times New Roman"/>
                <w:szCs w:val="24"/>
              </w:rPr>
            </w:pPr>
            <w:r w:rsidRPr="006F6894">
              <w:rPr>
                <w:rFonts w:cs="Times New Roman"/>
                <w:szCs w:val="24"/>
              </w:rPr>
              <w:t>Community and Target Aggregate:</w:t>
            </w:r>
            <w:r w:rsidR="00942D70" w:rsidRPr="006F6894">
              <w:rPr>
                <w:rFonts w:cs="Times New Roman"/>
                <w:szCs w:val="24"/>
              </w:rPr>
              <w:t xml:space="preserve"> </w:t>
            </w:r>
            <w:r w:rsidR="00703FB4" w:rsidRPr="006F6894">
              <w:rPr>
                <w:rFonts w:cs="Times New Roman"/>
                <w:szCs w:val="24"/>
              </w:rPr>
              <w:t xml:space="preserve">The target population for this teaching plan is individuals aged </w:t>
            </w:r>
            <w:r w:rsidR="008D1A88" w:rsidRPr="006F6894">
              <w:rPr>
                <w:rFonts w:cs="Times New Roman"/>
                <w:szCs w:val="24"/>
              </w:rPr>
              <w:t>65</w:t>
            </w:r>
            <w:r w:rsidR="00703FB4" w:rsidRPr="006F6894">
              <w:rPr>
                <w:rFonts w:cs="Times New Roman"/>
                <w:szCs w:val="24"/>
              </w:rPr>
              <w:t xml:space="preserve"> years and above. </w:t>
            </w:r>
          </w:p>
          <w:p w14:paraId="0DC572DF" w14:textId="77777777" w:rsidR="00151DFF" w:rsidRPr="006F6894" w:rsidRDefault="00151DFF" w:rsidP="006F6894">
            <w:pPr>
              <w:pStyle w:val="GrandCanyonBodyText"/>
              <w:spacing w:after="0" w:line="480" w:lineRule="auto"/>
              <w:ind w:firstLine="0"/>
              <w:rPr>
                <w:rFonts w:cs="Times New Roman"/>
                <w:szCs w:val="24"/>
              </w:rPr>
            </w:pPr>
          </w:p>
        </w:tc>
      </w:tr>
      <w:tr w:rsidR="00151DFF" w:rsidRPr="006F6894" w14:paraId="0AAE197A" w14:textId="77777777" w:rsidTr="00FF1E1B">
        <w:tc>
          <w:tcPr>
            <w:tcW w:w="8856" w:type="dxa"/>
            <w:gridSpan w:val="2"/>
          </w:tcPr>
          <w:p w14:paraId="052229E6" w14:textId="616A4470" w:rsidR="00151DFF" w:rsidRPr="006F6894" w:rsidRDefault="00151DFF" w:rsidP="006F6894">
            <w:pPr>
              <w:pStyle w:val="GrandCanyonBodyText"/>
              <w:spacing w:after="0" w:line="480" w:lineRule="auto"/>
              <w:ind w:firstLine="0"/>
              <w:rPr>
                <w:rFonts w:cs="Times New Roman"/>
                <w:szCs w:val="24"/>
              </w:rPr>
            </w:pPr>
            <w:r w:rsidRPr="006F6894">
              <w:rPr>
                <w:rFonts w:cs="Times New Roman"/>
                <w:szCs w:val="24"/>
              </w:rPr>
              <w:t>Topic:</w:t>
            </w:r>
            <w:r w:rsidR="00942D70" w:rsidRPr="006F6894">
              <w:rPr>
                <w:rFonts w:cs="Times New Roman"/>
                <w:szCs w:val="24"/>
              </w:rPr>
              <w:t xml:space="preserve"> </w:t>
            </w:r>
            <w:r w:rsidR="00942D70" w:rsidRPr="006F6894">
              <w:rPr>
                <w:rFonts w:cs="Times New Roman"/>
                <w:szCs w:val="24"/>
              </w:rPr>
              <w:t>Secondary Prevention/Screenings for a Vulnerable Population</w:t>
            </w:r>
            <w:r w:rsidR="00942D70" w:rsidRPr="006F6894">
              <w:rPr>
                <w:rFonts w:cs="Times New Roman"/>
                <w:szCs w:val="24"/>
              </w:rPr>
              <w:t xml:space="preserve">: The significance of </w:t>
            </w:r>
            <w:r w:rsidR="00703FB4" w:rsidRPr="006F6894">
              <w:rPr>
                <w:rFonts w:cs="Times New Roman"/>
                <w:szCs w:val="24"/>
              </w:rPr>
              <w:t>r</w:t>
            </w:r>
            <w:r w:rsidR="00703FB4" w:rsidRPr="006F6894">
              <w:rPr>
                <w:rFonts w:cs="Times New Roman"/>
                <w:szCs w:val="24"/>
              </w:rPr>
              <w:t>outine bone mineral density screening</w:t>
            </w:r>
          </w:p>
        </w:tc>
      </w:tr>
    </w:tbl>
    <w:p w14:paraId="7DEC0A70" w14:textId="669AB9D2" w:rsidR="00C4147F" w:rsidRPr="006F6894" w:rsidRDefault="00C4147F" w:rsidP="006F6894">
      <w:pPr>
        <w:spacing w:line="480" w:lineRule="auto"/>
        <w:rPr>
          <w:b/>
          <w:bCs/>
          <w:kern w:val="32"/>
        </w:rPr>
      </w:pPr>
    </w:p>
    <w:p w14:paraId="39BFA38F" w14:textId="58A5D2DB" w:rsidR="00EE7911" w:rsidRPr="006F6894" w:rsidRDefault="00EE7911" w:rsidP="006F6894">
      <w:pPr>
        <w:pStyle w:val="GrandCanyonBodyText"/>
        <w:spacing w:after="0" w:line="480" w:lineRule="auto"/>
        <w:ind w:firstLine="0"/>
        <w:rPr>
          <w:rFonts w:cs="Times New Roman"/>
          <w:b/>
          <w:szCs w:val="24"/>
        </w:rPr>
      </w:pPr>
      <w:r w:rsidRPr="006F6894">
        <w:rPr>
          <w:rFonts w:cs="Times New Roman"/>
          <w:b/>
          <w:szCs w:val="24"/>
        </w:rPr>
        <w:lastRenderedPageBreak/>
        <w:t>Identification of Focus for Community Teaching</w:t>
      </w:r>
      <w:r w:rsidRPr="006F6894">
        <w:rPr>
          <w:rFonts w:cs="Times New Roman"/>
          <w:szCs w:val="24"/>
        </w:rPr>
        <w:t>:</w:t>
      </w:r>
    </w:p>
    <w:p w14:paraId="6E52E227" w14:textId="2EC756D7" w:rsidR="00880096" w:rsidRPr="006F6894" w:rsidRDefault="00292968" w:rsidP="006F6894">
      <w:pPr>
        <w:pStyle w:val="GrandCanyonBodyText"/>
        <w:spacing w:after="0" w:line="480" w:lineRule="auto"/>
        <w:ind w:firstLine="0"/>
        <w:rPr>
          <w:rFonts w:cs="Times New Roman"/>
          <w:szCs w:val="24"/>
        </w:rPr>
      </w:pPr>
      <w:r w:rsidRPr="006F6894">
        <w:rPr>
          <w:rFonts w:cs="Times New Roman"/>
          <w:szCs w:val="24"/>
        </w:rPr>
        <w:tab/>
      </w:r>
      <w:r w:rsidR="00370733" w:rsidRPr="006F6894">
        <w:rPr>
          <w:rFonts w:cs="Times New Roman"/>
          <w:szCs w:val="24"/>
        </w:rPr>
        <w:t xml:space="preserve">Despite being the most common bone condition, osteoporosis </w:t>
      </w:r>
      <w:r w:rsidR="00A81D53" w:rsidRPr="006F6894">
        <w:rPr>
          <w:rFonts w:cs="Times New Roman"/>
          <w:szCs w:val="24"/>
        </w:rPr>
        <w:t xml:space="preserve">is </w:t>
      </w:r>
      <w:r w:rsidR="00370733" w:rsidRPr="006F6894">
        <w:rPr>
          <w:rFonts w:cs="Times New Roman"/>
          <w:szCs w:val="24"/>
        </w:rPr>
        <w:t>one of the most underdiagnosed conditions (</w:t>
      </w:r>
      <w:r w:rsidR="00D1569A" w:rsidRPr="006F6894">
        <w:rPr>
          <w:rFonts w:cs="Times New Roman"/>
          <w:noProof/>
          <w:szCs w:val="24"/>
        </w:rPr>
        <w:t>HealthyPeople.gov</w:t>
      </w:r>
      <w:r w:rsidR="00D1569A" w:rsidRPr="006F6894">
        <w:rPr>
          <w:rFonts w:cs="Times New Roman"/>
          <w:noProof/>
          <w:szCs w:val="24"/>
        </w:rPr>
        <w:t>, 2023</w:t>
      </w:r>
      <w:r w:rsidR="00370733" w:rsidRPr="006F6894">
        <w:rPr>
          <w:rFonts w:cs="Times New Roman"/>
          <w:szCs w:val="24"/>
        </w:rPr>
        <w:t xml:space="preserve">). </w:t>
      </w:r>
      <w:r w:rsidR="00355427" w:rsidRPr="006F6894">
        <w:rPr>
          <w:rFonts w:cs="Times New Roman"/>
          <w:szCs w:val="24"/>
        </w:rPr>
        <w:t xml:space="preserve">Osteoporosis is a medical condition </w:t>
      </w:r>
      <w:r w:rsidR="00A81D53" w:rsidRPr="006F6894">
        <w:rPr>
          <w:rFonts w:cs="Times New Roman"/>
          <w:szCs w:val="24"/>
        </w:rPr>
        <w:t>resulting in the individual’s bone weakening</w:t>
      </w:r>
      <w:r w:rsidR="00355427" w:rsidRPr="006F6894">
        <w:rPr>
          <w:rFonts w:cs="Times New Roman"/>
          <w:szCs w:val="24"/>
        </w:rPr>
        <w:t xml:space="preserve"> and at a higher risk of breaking. </w:t>
      </w:r>
      <w:r w:rsidR="00037EB6" w:rsidRPr="006F6894">
        <w:rPr>
          <w:rFonts w:cs="Times New Roman"/>
          <w:szCs w:val="24"/>
        </w:rPr>
        <w:t>This condition affects approximately 10 million Americans w</w:t>
      </w:r>
      <w:r w:rsidR="00A81D53" w:rsidRPr="006F6894">
        <w:rPr>
          <w:rFonts w:cs="Times New Roman"/>
          <w:szCs w:val="24"/>
        </w:rPr>
        <w:t>ith</w:t>
      </w:r>
      <w:r w:rsidR="00037EB6" w:rsidRPr="006F6894">
        <w:rPr>
          <w:rFonts w:cs="Times New Roman"/>
          <w:szCs w:val="24"/>
        </w:rPr>
        <w:t xml:space="preserve"> osteoporosis</w:t>
      </w:r>
      <w:r w:rsidR="00A81D53" w:rsidRPr="006F6894">
        <w:rPr>
          <w:rFonts w:cs="Times New Roman"/>
          <w:szCs w:val="24"/>
        </w:rPr>
        <w:t>,</w:t>
      </w:r>
      <w:r w:rsidR="00037EB6" w:rsidRPr="006F6894">
        <w:rPr>
          <w:rFonts w:cs="Times New Roman"/>
          <w:szCs w:val="24"/>
        </w:rPr>
        <w:t xml:space="preserve"> while approximately 44 million </w:t>
      </w:r>
      <w:r w:rsidR="00A81D53" w:rsidRPr="006F6894">
        <w:rPr>
          <w:rFonts w:cs="Times New Roman"/>
          <w:szCs w:val="24"/>
        </w:rPr>
        <w:t>have low bone density, placing</w:t>
      </w:r>
      <w:r w:rsidR="008160C5" w:rsidRPr="006F6894">
        <w:rPr>
          <w:rFonts w:cs="Times New Roman"/>
          <w:szCs w:val="24"/>
        </w:rPr>
        <w:t xml:space="preserve"> them at an increased risk of osteoporosis (</w:t>
      </w:r>
      <w:r w:rsidR="00D1569A" w:rsidRPr="006F6894">
        <w:rPr>
          <w:rFonts w:cs="Times New Roman"/>
          <w:noProof/>
          <w:szCs w:val="24"/>
        </w:rPr>
        <w:t>HealthyPeople.gov, 2023</w:t>
      </w:r>
      <w:r w:rsidR="008160C5" w:rsidRPr="006F6894">
        <w:rPr>
          <w:rFonts w:cs="Times New Roman"/>
          <w:szCs w:val="24"/>
        </w:rPr>
        <w:t>).</w:t>
      </w:r>
      <w:r w:rsidR="00CB6F61" w:rsidRPr="006F6894">
        <w:rPr>
          <w:rFonts w:cs="Times New Roman"/>
          <w:szCs w:val="24"/>
        </w:rPr>
        <w:t xml:space="preserve"> It is also significant to note that around 54 million Americans, comprising half of all adults aged 50 years and older, are at </w:t>
      </w:r>
      <w:r w:rsidR="00A81D53" w:rsidRPr="006F6894">
        <w:rPr>
          <w:rFonts w:cs="Times New Roman"/>
          <w:szCs w:val="24"/>
        </w:rPr>
        <w:t>considerable</w:t>
      </w:r>
      <w:r w:rsidR="00CB6F61" w:rsidRPr="006F6894">
        <w:rPr>
          <w:rFonts w:cs="Times New Roman"/>
          <w:szCs w:val="24"/>
        </w:rPr>
        <w:t xml:space="preserve"> risk of developing osteoporosis</w:t>
      </w:r>
      <w:r w:rsidR="00A81D53" w:rsidRPr="006F6894">
        <w:rPr>
          <w:rFonts w:cs="Times New Roman"/>
          <w:szCs w:val="24"/>
        </w:rPr>
        <w:t>,</w:t>
      </w:r>
      <w:r w:rsidR="00CB6F61" w:rsidRPr="006F6894">
        <w:rPr>
          <w:rFonts w:cs="Times New Roman"/>
          <w:szCs w:val="24"/>
        </w:rPr>
        <w:t xml:space="preserve"> making it essential for this population to be concerned about bone health. </w:t>
      </w:r>
      <w:r w:rsidR="00E51D90" w:rsidRPr="006F6894">
        <w:rPr>
          <w:rFonts w:cs="Times New Roman"/>
          <w:szCs w:val="24"/>
        </w:rPr>
        <w:t xml:space="preserve">Besides being at risk of developing osteoporosis, the elderly are at an increased risk of falls </w:t>
      </w:r>
      <w:r w:rsidR="00A81D53" w:rsidRPr="006F6894">
        <w:rPr>
          <w:rFonts w:cs="Times New Roman"/>
          <w:szCs w:val="24"/>
        </w:rPr>
        <w:t>linked with negative health outcomes including traumatic brain injury, broken bones, hip fractures, loss of independence, reduced quality of life, and</w:t>
      </w:r>
      <w:r w:rsidR="00E51D90" w:rsidRPr="006F6894">
        <w:rPr>
          <w:rFonts w:cs="Times New Roman"/>
          <w:szCs w:val="24"/>
        </w:rPr>
        <w:t xml:space="preserve"> chronic pain (CDC, 2021).</w:t>
      </w:r>
      <w:r w:rsidR="00880096" w:rsidRPr="006F6894">
        <w:rPr>
          <w:rFonts w:cs="Times New Roman"/>
          <w:szCs w:val="24"/>
        </w:rPr>
        <w:t xml:space="preserve"> Osteoporosis occurs progressive</w:t>
      </w:r>
      <w:r w:rsidR="00A81D53" w:rsidRPr="006F6894">
        <w:rPr>
          <w:rFonts w:cs="Times New Roman"/>
          <w:szCs w:val="24"/>
        </w:rPr>
        <w:t>ly,</w:t>
      </w:r>
      <w:r w:rsidR="00880096" w:rsidRPr="006F6894">
        <w:rPr>
          <w:rFonts w:cs="Times New Roman"/>
          <w:szCs w:val="24"/>
        </w:rPr>
        <w:t xml:space="preserve"> offer</w:t>
      </w:r>
      <w:r w:rsidR="00A81D53" w:rsidRPr="006F6894">
        <w:rPr>
          <w:rFonts w:cs="Times New Roman"/>
          <w:szCs w:val="24"/>
        </w:rPr>
        <w:t>ing</w:t>
      </w:r>
      <w:r w:rsidR="00880096" w:rsidRPr="006F6894">
        <w:rPr>
          <w:rFonts w:cs="Times New Roman"/>
          <w:szCs w:val="24"/>
        </w:rPr>
        <w:t xml:space="preserve"> the care provider </w:t>
      </w:r>
      <w:r w:rsidR="00A81D53" w:rsidRPr="006F6894">
        <w:rPr>
          <w:rFonts w:cs="Times New Roman"/>
          <w:szCs w:val="24"/>
        </w:rPr>
        <w:t>a chance to detect</w:t>
      </w:r>
      <w:r w:rsidR="00880096" w:rsidRPr="006F6894">
        <w:rPr>
          <w:rFonts w:cs="Times New Roman"/>
          <w:szCs w:val="24"/>
        </w:rPr>
        <w:t xml:space="preserve"> it in advance using measures such as the use of </w:t>
      </w:r>
      <w:r w:rsidR="00880096" w:rsidRPr="006F6894">
        <w:rPr>
          <w:rFonts w:cs="Times New Roman"/>
          <w:szCs w:val="24"/>
        </w:rPr>
        <w:t>bone mineral density (BMD) screening</w:t>
      </w:r>
      <w:r w:rsidR="00880096" w:rsidRPr="006F6894">
        <w:rPr>
          <w:rFonts w:cs="Times New Roman"/>
          <w:szCs w:val="24"/>
        </w:rPr>
        <w:t xml:space="preserve"> options</w:t>
      </w:r>
      <w:r w:rsidR="00A81D53" w:rsidRPr="006F6894">
        <w:rPr>
          <w:rFonts w:cs="Times New Roman"/>
          <w:szCs w:val="24"/>
        </w:rPr>
        <w:t>,</w:t>
      </w:r>
      <w:r w:rsidR="00880096" w:rsidRPr="006F6894">
        <w:rPr>
          <w:rFonts w:cs="Times New Roman"/>
          <w:szCs w:val="24"/>
        </w:rPr>
        <w:t xml:space="preserve"> including </w:t>
      </w:r>
      <w:r w:rsidR="00880096" w:rsidRPr="006F6894">
        <w:rPr>
          <w:rFonts w:cs="Times New Roman"/>
          <w:szCs w:val="24"/>
        </w:rPr>
        <w:t>dual-energy X-ray absorptiometry (DXA) scan</w:t>
      </w:r>
      <w:r w:rsidR="00880096" w:rsidRPr="006F6894">
        <w:rPr>
          <w:rFonts w:cs="Times New Roman"/>
          <w:szCs w:val="24"/>
        </w:rPr>
        <w:t xml:space="preserve"> </w:t>
      </w:r>
      <w:r w:rsidR="00880096" w:rsidRPr="006F6894">
        <w:rPr>
          <w:rFonts w:cs="Times New Roman"/>
          <w:szCs w:val="24"/>
        </w:rPr>
        <w:t>the gold standard for measuring bone density (Goode, Wright &amp; Lynch, 2020).</w:t>
      </w:r>
      <w:r w:rsidR="00880096" w:rsidRPr="006F6894">
        <w:rPr>
          <w:rFonts w:cs="Times New Roman"/>
          <w:szCs w:val="24"/>
        </w:rPr>
        <w:t xml:space="preserve"> As such, </w:t>
      </w:r>
      <w:r w:rsidR="00A81D53" w:rsidRPr="006F6894">
        <w:rPr>
          <w:rFonts w:cs="Times New Roman"/>
          <w:szCs w:val="24"/>
        </w:rPr>
        <w:t>educating</w:t>
      </w:r>
      <w:r w:rsidR="00880096" w:rsidRPr="006F6894">
        <w:rPr>
          <w:rFonts w:cs="Times New Roman"/>
          <w:szCs w:val="24"/>
        </w:rPr>
        <w:t xml:space="preserve"> the population at the </w:t>
      </w:r>
      <w:r w:rsidR="00A81D53" w:rsidRPr="006F6894">
        <w:rPr>
          <w:rFonts w:cs="Times New Roman"/>
          <w:szCs w:val="24"/>
        </w:rPr>
        <w:t>greates</w:t>
      </w:r>
      <w:r w:rsidR="00880096" w:rsidRPr="006F6894">
        <w:rPr>
          <w:rFonts w:cs="Times New Roman"/>
          <w:szCs w:val="24"/>
        </w:rPr>
        <w:t>t risk is sign</w:t>
      </w:r>
      <w:r w:rsidR="00A81D53" w:rsidRPr="006F6894">
        <w:rPr>
          <w:rFonts w:cs="Times New Roman"/>
          <w:szCs w:val="24"/>
        </w:rPr>
        <w:t>i</w:t>
      </w:r>
      <w:r w:rsidR="00880096" w:rsidRPr="006F6894">
        <w:rPr>
          <w:rFonts w:cs="Times New Roman"/>
          <w:szCs w:val="24"/>
        </w:rPr>
        <w:t>ficant in promoting the preventive</w:t>
      </w:r>
      <w:r w:rsidR="003A25E6" w:rsidRPr="006F6894">
        <w:rPr>
          <w:rFonts w:cs="Times New Roman"/>
          <w:szCs w:val="24"/>
        </w:rPr>
        <w:t xml:space="preserve"> practices of routine screening. In this light, this paper will develop a plan for teaching the community the importance of routine screening as a secondary fracture prevention strategy. </w:t>
      </w:r>
    </w:p>
    <w:p w14:paraId="1EF52962" w14:textId="5E473F43" w:rsidR="00151DFF" w:rsidRPr="006F6894" w:rsidRDefault="00151DFF" w:rsidP="006F6894">
      <w:pPr>
        <w:pStyle w:val="GrandCanyonBodyText"/>
        <w:spacing w:after="0" w:line="480" w:lineRule="auto"/>
        <w:ind w:firstLine="0"/>
        <w:rPr>
          <w:rFonts w:cs="Times New Roman"/>
          <w:szCs w:val="24"/>
        </w:rPr>
      </w:pPr>
      <w:r w:rsidRPr="006F6894">
        <w:rPr>
          <w:rFonts w:cs="Times New Roman"/>
          <w:b/>
          <w:szCs w:val="24"/>
        </w:rPr>
        <w:t>Epidemiological Rationale for Topic</w:t>
      </w:r>
      <w:r w:rsidRPr="006F6894">
        <w:rPr>
          <w:rFonts w:cs="Times New Roman"/>
          <w:szCs w:val="24"/>
        </w:rPr>
        <w:t xml:space="preserve"> (</w:t>
      </w:r>
      <w:r w:rsidR="00C4147F" w:rsidRPr="006F6894">
        <w:rPr>
          <w:rFonts w:cs="Times New Roman"/>
          <w:szCs w:val="24"/>
        </w:rPr>
        <w:t>Statistics Related to Topic</w:t>
      </w:r>
      <w:r w:rsidRPr="006F6894">
        <w:rPr>
          <w:rFonts w:cs="Times New Roman"/>
          <w:szCs w:val="24"/>
        </w:rPr>
        <w:t>):</w:t>
      </w:r>
    </w:p>
    <w:p w14:paraId="5198F4A5" w14:textId="3B9829D5" w:rsidR="00C0527E" w:rsidRPr="006F6894" w:rsidRDefault="003006BC" w:rsidP="006F6894">
      <w:pPr>
        <w:spacing w:line="480" w:lineRule="auto"/>
        <w:ind w:firstLine="720"/>
      </w:pPr>
      <w:r w:rsidRPr="006F6894">
        <w:t xml:space="preserve">Osteoporosis is a significant problem in the United States, affecting approximately 10 million people, with an additional 44 million </w:t>
      </w:r>
      <w:r w:rsidR="00A81D53" w:rsidRPr="006F6894">
        <w:t xml:space="preserve">with a </w:t>
      </w:r>
      <w:r w:rsidRPr="006F6894">
        <w:t>low bone density that places them at an increased risk of developing osteoporosis (</w:t>
      </w:r>
      <w:r w:rsidRPr="006F6894">
        <w:rPr>
          <w:noProof/>
        </w:rPr>
        <w:t>HealthyPeople.gov, 2023</w:t>
      </w:r>
      <w:r w:rsidRPr="006F6894">
        <w:t xml:space="preserve">). </w:t>
      </w:r>
      <w:r w:rsidR="008D1A88" w:rsidRPr="006F6894">
        <w:t xml:space="preserve">This </w:t>
      </w:r>
      <w:r w:rsidR="00A81D53" w:rsidRPr="006F6894">
        <w:t>multifactorial disorder is</w:t>
      </w:r>
      <w:r w:rsidR="008D1A88" w:rsidRPr="006F6894">
        <w:t xml:space="preserve"> associated with low bone mass</w:t>
      </w:r>
      <w:r w:rsidR="00D72BA1" w:rsidRPr="006F6894">
        <w:t xml:space="preserve">, impaired bone quality, and </w:t>
      </w:r>
      <w:r w:rsidR="008D1A88" w:rsidRPr="006F6894">
        <w:t xml:space="preserve">enhanced skeletal fragility </w:t>
      </w:r>
      <w:r w:rsidR="00D72BA1" w:rsidRPr="006F6894">
        <w:lastRenderedPageBreak/>
        <w:t xml:space="preserve">(Rosen, 2021). </w:t>
      </w:r>
      <w:r w:rsidR="00CD2524" w:rsidRPr="006F6894">
        <w:t xml:space="preserve">This condition occurs when </w:t>
      </w:r>
      <w:r w:rsidR="00A81D53" w:rsidRPr="006F6894">
        <w:t>calcium/vitamin D metabolism abnormalities prevent</w:t>
      </w:r>
      <w:r w:rsidR="00CD2524" w:rsidRPr="006F6894">
        <w:t xml:space="preserve"> osteoblastic bone formation from compensating osteoclastic bone resorption (</w:t>
      </w:r>
      <w:r w:rsidR="00CD2524" w:rsidRPr="006F6894">
        <w:t>Rosen, 2021</w:t>
      </w:r>
      <w:r w:rsidR="00CD2524" w:rsidRPr="006F6894">
        <w:t xml:space="preserve">). </w:t>
      </w:r>
      <w:r w:rsidR="00A81D53" w:rsidRPr="006F6894">
        <w:t>Notably,</w:t>
      </w:r>
      <w:r w:rsidR="00CD2524" w:rsidRPr="006F6894">
        <w:t xml:space="preserve"> this disorder is common in individuals 65 and older</w:t>
      </w:r>
      <w:r w:rsidR="00A81D53" w:rsidRPr="006F6894">
        <w:t>,</w:t>
      </w:r>
      <w:r w:rsidR="00720A3A" w:rsidRPr="006F6894">
        <w:t xml:space="preserve"> during which there is </w:t>
      </w:r>
      <w:r w:rsidR="00A81D53" w:rsidRPr="006F6894">
        <w:t xml:space="preserve">an </w:t>
      </w:r>
      <w:r w:rsidR="00720A3A" w:rsidRPr="006F6894">
        <w:t>age-related deter</w:t>
      </w:r>
      <w:r w:rsidR="00A81D53" w:rsidRPr="006F6894">
        <w:t>ior</w:t>
      </w:r>
      <w:r w:rsidR="00720A3A" w:rsidRPr="006F6894">
        <w:t>ation of skeletal microarchite</w:t>
      </w:r>
      <w:r w:rsidR="00A81D53" w:rsidRPr="006F6894">
        <w:t>c</w:t>
      </w:r>
      <w:r w:rsidR="00720A3A" w:rsidRPr="006F6894">
        <w:t>ture due to impaired cell differentiation (</w:t>
      </w:r>
      <w:r w:rsidR="00720A3A" w:rsidRPr="006F6894">
        <w:t>Rosen, 2021</w:t>
      </w:r>
      <w:r w:rsidR="00720A3A" w:rsidRPr="006F6894">
        <w:t xml:space="preserve">). Statistics confirm that osteoporosis is a health condition that is most common among the elderly, with a higher prevalence rate </w:t>
      </w:r>
      <w:r w:rsidR="002A6B19" w:rsidRPr="006F6894">
        <w:t xml:space="preserve">among women than men, such that </w:t>
      </w:r>
      <w:r w:rsidR="002A6B19" w:rsidRPr="006F6894">
        <w:t xml:space="preserve">1 in every 4 women and 1 in every 17 men are affected (Rosen, 2021). </w:t>
      </w:r>
      <w:r w:rsidR="002A6B19" w:rsidRPr="006F6894">
        <w:t xml:space="preserve">As such, regardless of gender, the target population for this educational program is the elderly considering their risk of developing the condition. </w:t>
      </w:r>
    </w:p>
    <w:p w14:paraId="57ACB1EA" w14:textId="761029C8" w:rsidR="00C4147F" w:rsidRPr="006F6894" w:rsidRDefault="00C0527E" w:rsidP="006F6894">
      <w:pPr>
        <w:spacing w:line="480" w:lineRule="auto"/>
        <w:rPr>
          <w:b/>
          <w:bCs/>
          <w:kern w:val="32"/>
        </w:rPr>
      </w:pPr>
      <w:r w:rsidRPr="006F6894">
        <w:tab/>
        <w:t xml:space="preserve">It is worth noting that early identification of this condition at its initial stages is helpful as it facilitates the implementation of the appropriate curbing strategies that help </w:t>
      </w:r>
      <w:r w:rsidR="00A81D53" w:rsidRPr="006F6894">
        <w:t>prevent</w:t>
      </w:r>
      <w:r w:rsidRPr="006F6894">
        <w:t xml:space="preserve"> the progression to oste</w:t>
      </w:r>
      <w:r w:rsidR="00A81D53" w:rsidRPr="006F6894">
        <w:t>o</w:t>
      </w:r>
      <w:r w:rsidRPr="006F6894">
        <w:t>porosis (</w:t>
      </w:r>
      <w:r w:rsidR="007E69FE" w:rsidRPr="006F6894">
        <w:t>Rosen, 2021</w:t>
      </w:r>
      <w:r w:rsidRPr="006F6894">
        <w:t xml:space="preserve">). </w:t>
      </w:r>
      <w:r w:rsidR="000F6334" w:rsidRPr="006F6894">
        <w:t>Some effective intervention</w:t>
      </w:r>
      <w:r w:rsidR="00A81D53" w:rsidRPr="006F6894">
        <w:t>s</w:t>
      </w:r>
      <w:r w:rsidR="000F6334" w:rsidRPr="006F6894">
        <w:t xml:space="preserve"> </w:t>
      </w:r>
      <w:r w:rsidR="00A81D53" w:rsidRPr="006F6894">
        <w:t>can help prevent the progression of</w:t>
      </w:r>
      <w:r w:rsidR="000F6334" w:rsidRPr="006F6894">
        <w:t xml:space="preserve"> osteopenia to osteoporosis. However, a client whose condition has already progressed to osteoporosis can benefit from the </w:t>
      </w:r>
      <w:r w:rsidR="00A81D53" w:rsidRPr="006F6894">
        <w:t>treatment regimen mentioned above</w:t>
      </w:r>
      <w:r w:rsidR="000F6334" w:rsidRPr="006F6894">
        <w:t xml:space="preserve">. </w:t>
      </w:r>
      <w:r w:rsidR="00A81D53" w:rsidRPr="006F6894">
        <w:t>Although</w:t>
      </w:r>
      <w:r w:rsidR="000F6334" w:rsidRPr="006F6894">
        <w:t xml:space="preserve"> osteoporosis is both </w:t>
      </w:r>
      <w:r w:rsidR="00A81D53" w:rsidRPr="006F6894">
        <w:t>preventable and treatable, it is among the most underdiagnosed and undertreated health conditions</w:t>
      </w:r>
      <w:r w:rsidR="000F6334" w:rsidRPr="006F6894">
        <w:t xml:space="preserve">. </w:t>
      </w:r>
      <w:r w:rsidR="008F3FBD" w:rsidRPr="006F6894">
        <w:t xml:space="preserve">As such, this condition continues to attract </w:t>
      </w:r>
      <w:r w:rsidR="00A81D53" w:rsidRPr="006F6894">
        <w:t>advers</w:t>
      </w:r>
      <w:r w:rsidR="008F3FBD" w:rsidRPr="006F6894">
        <w:t>e health outcomes among the elderly</w:t>
      </w:r>
      <w:r w:rsidR="00A81D53" w:rsidRPr="006F6894">
        <w:t>,</w:t>
      </w:r>
      <w:r w:rsidR="008F3FBD" w:rsidRPr="006F6894">
        <w:t xml:space="preserve"> considering it places them at a higher risk of falls, besides the high financial implication resulting from the direct and indirect care costs. </w:t>
      </w:r>
      <w:r w:rsidR="00FF4DE2" w:rsidRPr="006F6894">
        <w:t xml:space="preserve">Research reveals that approximately $20 billion </w:t>
      </w:r>
      <w:r w:rsidR="00DE39C7" w:rsidRPr="006F6894">
        <w:t xml:space="preserve">annually </w:t>
      </w:r>
      <w:r w:rsidR="00FF4DE2" w:rsidRPr="006F6894">
        <w:t>is spent in financi</w:t>
      </w:r>
      <w:r w:rsidR="00A81D53" w:rsidRPr="006F6894">
        <w:t>n</w:t>
      </w:r>
      <w:r w:rsidR="00FF4DE2" w:rsidRPr="006F6894">
        <w:t xml:space="preserve">g the costs of </w:t>
      </w:r>
      <w:r w:rsidR="00DE39C7" w:rsidRPr="006F6894">
        <w:t>hospital admissions, office visits, and nursing home admissions linked to osteoporosis</w:t>
      </w:r>
      <w:r w:rsidR="00A81D53" w:rsidRPr="006F6894">
        <w:t>-</w:t>
      </w:r>
      <w:r w:rsidR="00DE39C7" w:rsidRPr="006F6894">
        <w:t xml:space="preserve">related fractures. </w:t>
      </w:r>
      <w:r w:rsidR="00D92556" w:rsidRPr="006F6894">
        <w:t xml:space="preserve">Besides the significant health impacts on the individual, osteoporosis </w:t>
      </w:r>
      <w:r w:rsidR="00A81D53" w:rsidRPr="006F6894">
        <w:t>is</w:t>
      </w:r>
      <w:r w:rsidR="00D92556" w:rsidRPr="006F6894">
        <w:t xml:space="preserve"> </w:t>
      </w:r>
      <w:r w:rsidR="00A81D53" w:rsidRPr="006F6894">
        <w:t xml:space="preserve">an </w:t>
      </w:r>
      <w:r w:rsidR="00D92556" w:rsidRPr="006F6894">
        <w:t xml:space="preserve">unnecessary burden </w:t>
      </w:r>
      <w:r w:rsidR="00B823C4" w:rsidRPr="006F6894">
        <w:t xml:space="preserve">on the family and community as it </w:t>
      </w:r>
      <w:r w:rsidR="00A81D53" w:rsidRPr="006F6894">
        <w:t xml:space="preserve">is </w:t>
      </w:r>
      <w:r w:rsidR="00B823C4" w:rsidRPr="006F6894">
        <w:t xml:space="preserve">associated with loss of independence. Considering the health impacts on the individuals, the burden to the family and community due to high levels of dependence, and </w:t>
      </w:r>
      <w:r w:rsidR="00A81D53" w:rsidRPr="006F6894">
        <w:lastRenderedPageBreak/>
        <w:t xml:space="preserve">the </w:t>
      </w:r>
      <w:r w:rsidR="00B823C4" w:rsidRPr="006F6894">
        <w:t xml:space="preserve">yearly expenditure in providing care to patients, there is </w:t>
      </w:r>
      <w:r w:rsidR="00A81D53" w:rsidRPr="006F6894">
        <w:t xml:space="preserve">a </w:t>
      </w:r>
      <w:r w:rsidR="00B823C4" w:rsidRPr="006F6894">
        <w:t xml:space="preserve">need for effective interventions to help in addressing this condition. </w:t>
      </w:r>
    </w:p>
    <w:p w14:paraId="2EE11260" w14:textId="17323BF9" w:rsidR="00151DFF" w:rsidRPr="006F6894" w:rsidRDefault="0039402A" w:rsidP="006F6894">
      <w:pPr>
        <w:pStyle w:val="GrandCanyonBodyText"/>
        <w:spacing w:after="0" w:line="480" w:lineRule="auto"/>
        <w:ind w:firstLine="0"/>
        <w:rPr>
          <w:rFonts w:cs="Times New Roman"/>
          <w:b/>
          <w:szCs w:val="24"/>
        </w:rPr>
      </w:pPr>
      <w:r w:rsidRPr="006F6894">
        <w:rPr>
          <w:rFonts w:cs="Times New Roman"/>
          <w:b/>
          <w:szCs w:val="24"/>
        </w:rPr>
        <w:t>Teaching Plan Criteria</w:t>
      </w:r>
    </w:p>
    <w:p w14:paraId="164848EB" w14:textId="3725E201" w:rsidR="009165AC" w:rsidRPr="006F6894" w:rsidRDefault="00ED2B95" w:rsidP="006F6894">
      <w:pPr>
        <w:pStyle w:val="GrandCanyonBodyText"/>
        <w:spacing w:after="0" w:line="480" w:lineRule="auto"/>
        <w:ind w:firstLine="0"/>
        <w:rPr>
          <w:rFonts w:cs="Times New Roman"/>
          <w:szCs w:val="24"/>
        </w:rPr>
      </w:pPr>
      <w:r w:rsidRPr="006F6894">
        <w:rPr>
          <w:rFonts w:cs="Times New Roman"/>
          <w:szCs w:val="24"/>
        </w:rPr>
        <w:tab/>
      </w:r>
      <w:r w:rsidR="009165AC" w:rsidRPr="006F6894">
        <w:rPr>
          <w:rFonts w:cs="Times New Roman"/>
          <w:szCs w:val="24"/>
        </w:rPr>
        <w:t xml:space="preserve">The teaching plan for educating the </w:t>
      </w:r>
      <w:r w:rsidRPr="006F6894">
        <w:rPr>
          <w:rFonts w:cs="Times New Roman"/>
          <w:szCs w:val="24"/>
        </w:rPr>
        <w:t>elderly on the sign</w:t>
      </w:r>
      <w:r w:rsidR="00A81D53" w:rsidRPr="006F6894">
        <w:rPr>
          <w:rFonts w:cs="Times New Roman"/>
          <w:szCs w:val="24"/>
        </w:rPr>
        <w:t>i</w:t>
      </w:r>
      <w:r w:rsidRPr="006F6894">
        <w:rPr>
          <w:rFonts w:cs="Times New Roman"/>
          <w:szCs w:val="24"/>
        </w:rPr>
        <w:t xml:space="preserve">ficance of </w:t>
      </w:r>
      <w:r w:rsidRPr="006F6894">
        <w:rPr>
          <w:rFonts w:cs="Times New Roman"/>
          <w:szCs w:val="24"/>
        </w:rPr>
        <w:t>routine bone mineral density screening</w:t>
      </w:r>
      <w:r w:rsidRPr="006F6894">
        <w:rPr>
          <w:rFonts w:cs="Times New Roman"/>
          <w:szCs w:val="24"/>
        </w:rPr>
        <w:t xml:space="preserve"> will include </w:t>
      </w:r>
      <w:r w:rsidR="00A81D53" w:rsidRPr="006F6894">
        <w:rPr>
          <w:rFonts w:cs="Times New Roman"/>
          <w:szCs w:val="24"/>
        </w:rPr>
        <w:t>several</w:t>
      </w:r>
      <w:r w:rsidRPr="006F6894">
        <w:rPr>
          <w:rFonts w:cs="Times New Roman"/>
          <w:szCs w:val="24"/>
        </w:rPr>
        <w:t xml:space="preserve"> steps</w:t>
      </w:r>
      <w:r w:rsidR="00A81D53" w:rsidRPr="006F6894">
        <w:rPr>
          <w:rFonts w:cs="Times New Roman"/>
          <w:szCs w:val="24"/>
        </w:rPr>
        <w:t>,</w:t>
      </w:r>
      <w:r w:rsidRPr="006F6894">
        <w:rPr>
          <w:rFonts w:cs="Times New Roman"/>
          <w:szCs w:val="24"/>
        </w:rPr>
        <w:t xml:space="preserve"> including </w:t>
      </w:r>
      <w:r w:rsidRPr="006F6894">
        <w:rPr>
          <w:rFonts w:cs="Times New Roman"/>
          <w:szCs w:val="24"/>
        </w:rPr>
        <w:t>establishing the topic’s objectives, creating awareness o</w:t>
      </w:r>
      <w:r w:rsidR="00A81D53" w:rsidRPr="006F6894">
        <w:rPr>
          <w:rFonts w:cs="Times New Roman"/>
          <w:szCs w:val="24"/>
        </w:rPr>
        <w:t>f</w:t>
      </w:r>
      <w:r w:rsidRPr="006F6894">
        <w:rPr>
          <w:rFonts w:cs="Times New Roman"/>
          <w:szCs w:val="24"/>
        </w:rPr>
        <w:t xml:space="preserve"> </w:t>
      </w:r>
      <w:r w:rsidRPr="006F6894">
        <w:rPr>
          <w:rFonts w:cs="Times New Roman"/>
          <w:szCs w:val="24"/>
        </w:rPr>
        <w:t>osteoporosis</w:t>
      </w:r>
      <w:r w:rsidRPr="006F6894">
        <w:rPr>
          <w:rFonts w:cs="Times New Roman"/>
          <w:szCs w:val="24"/>
        </w:rPr>
        <w:t xml:space="preserve"> and conducting the </w:t>
      </w:r>
      <w:r w:rsidRPr="006F6894">
        <w:rPr>
          <w:rFonts w:cs="Times New Roman"/>
          <w:szCs w:val="24"/>
        </w:rPr>
        <w:t xml:space="preserve">screening exercise among the participants. </w:t>
      </w:r>
    </w:p>
    <w:p w14:paraId="0B8AB3FC" w14:textId="79002996" w:rsidR="00151DFF" w:rsidRPr="006F6894" w:rsidRDefault="00151DFF" w:rsidP="006F6894">
      <w:pPr>
        <w:pStyle w:val="GrandCanyonBodyText"/>
        <w:spacing w:after="0" w:line="480" w:lineRule="auto"/>
        <w:ind w:firstLine="0"/>
        <w:rPr>
          <w:rFonts w:cs="Times New Roman"/>
          <w:szCs w:val="24"/>
        </w:rPr>
      </w:pPr>
      <w:r w:rsidRPr="006F6894">
        <w:rPr>
          <w:rFonts w:cs="Times New Roman"/>
          <w:b/>
          <w:szCs w:val="24"/>
        </w:rPr>
        <w:t>Nursing Diagnosis</w:t>
      </w:r>
      <w:r w:rsidRPr="006F6894">
        <w:rPr>
          <w:rFonts w:cs="Times New Roman"/>
          <w:szCs w:val="24"/>
        </w:rPr>
        <w:t>:</w:t>
      </w:r>
    </w:p>
    <w:p w14:paraId="1F70C27C" w14:textId="66E1D125" w:rsidR="00151DFF" w:rsidRPr="006F6894" w:rsidRDefault="00ED2B95" w:rsidP="006F6894">
      <w:pPr>
        <w:spacing w:line="480" w:lineRule="auto"/>
        <w:ind w:firstLine="720"/>
      </w:pPr>
      <w:r w:rsidRPr="006F6894">
        <w:t xml:space="preserve">A nursing diagnosis for this population would </w:t>
      </w:r>
      <w:r w:rsidR="00F66AB3" w:rsidRPr="006F6894">
        <w:t xml:space="preserve">be </w:t>
      </w:r>
      <w:r w:rsidR="00A81D53" w:rsidRPr="006F6894">
        <w:t>insuf</w:t>
      </w:r>
      <w:r w:rsidR="00F66AB3" w:rsidRPr="006F6894">
        <w:t xml:space="preserve">ficient knowledge related to </w:t>
      </w:r>
      <w:r w:rsidR="00A81D53" w:rsidRPr="006F6894">
        <w:t xml:space="preserve">a </w:t>
      </w:r>
      <w:r w:rsidR="00F66AB3" w:rsidRPr="006F6894">
        <w:t xml:space="preserve">lack of information </w:t>
      </w:r>
      <w:r w:rsidR="00A81D53" w:rsidRPr="006F6894">
        <w:t>on</w:t>
      </w:r>
      <w:r w:rsidR="00F66AB3" w:rsidRPr="006F6894">
        <w:t xml:space="preserve"> the effectiveness of </w:t>
      </w:r>
      <w:r w:rsidR="00F66AB3" w:rsidRPr="006F6894">
        <w:t>routine bone mineral density testing</w:t>
      </w:r>
      <w:r w:rsidR="00F66AB3" w:rsidRPr="006F6894">
        <w:t xml:space="preserve"> as evidenced by the underdiagnosis and undertreatment of osteoporosis and </w:t>
      </w:r>
      <w:r w:rsidR="00A81D53" w:rsidRPr="006F6894">
        <w:t xml:space="preserve">the </w:t>
      </w:r>
      <w:r w:rsidR="00F66AB3" w:rsidRPr="006F6894">
        <w:t xml:space="preserve">high prevalence of fragility fractures among the elderly. </w:t>
      </w:r>
    </w:p>
    <w:p w14:paraId="0CBE961E" w14:textId="77777777" w:rsidR="004025A9" w:rsidRPr="006F6894" w:rsidRDefault="00151DFF" w:rsidP="006F6894">
      <w:pPr>
        <w:pStyle w:val="GrandCanyonBodyText"/>
        <w:spacing w:after="0" w:line="480" w:lineRule="auto"/>
        <w:ind w:firstLine="0"/>
        <w:rPr>
          <w:rFonts w:cs="Times New Roman"/>
          <w:szCs w:val="24"/>
        </w:rPr>
      </w:pPr>
      <w:r w:rsidRPr="006F6894">
        <w:rPr>
          <w:rFonts w:cs="Times New Roman"/>
          <w:b/>
          <w:szCs w:val="24"/>
        </w:rPr>
        <w:t>Readiness for Learning:</w:t>
      </w:r>
      <w:r w:rsidRPr="006F6894">
        <w:rPr>
          <w:rFonts w:cs="Times New Roman"/>
          <w:szCs w:val="24"/>
        </w:rPr>
        <w:t xml:space="preserve"> </w:t>
      </w:r>
    </w:p>
    <w:p w14:paraId="3BE2BC0F" w14:textId="0ED03FE9" w:rsidR="00151DFF" w:rsidRPr="006F6894" w:rsidRDefault="004025A9" w:rsidP="006F6894">
      <w:pPr>
        <w:pStyle w:val="GrandCanyonBodyText"/>
        <w:spacing w:after="0" w:line="480" w:lineRule="auto"/>
        <w:ind w:firstLine="0"/>
        <w:rPr>
          <w:rFonts w:cs="Times New Roman"/>
          <w:b/>
          <w:szCs w:val="24"/>
        </w:rPr>
      </w:pPr>
      <w:r w:rsidRPr="006F6894">
        <w:rPr>
          <w:rFonts w:cs="Times New Roman"/>
          <w:szCs w:val="24"/>
        </w:rPr>
        <w:tab/>
        <w:t>Research identifies that readiness to learn is characterized by the learner</w:t>
      </w:r>
      <w:r w:rsidR="00A81D53" w:rsidRPr="006F6894">
        <w:rPr>
          <w:rFonts w:cs="Times New Roman"/>
          <w:szCs w:val="24"/>
        </w:rPr>
        <w:t>'s</w:t>
      </w:r>
      <w:r w:rsidRPr="006F6894">
        <w:rPr>
          <w:rFonts w:cs="Times New Roman"/>
          <w:szCs w:val="24"/>
        </w:rPr>
        <w:t xml:space="preserve"> motivation to acquire new skills and knowledge</w:t>
      </w:r>
      <w:r w:rsidR="00A81D53" w:rsidRPr="006F6894">
        <w:rPr>
          <w:rFonts w:cs="Times New Roman"/>
          <w:szCs w:val="24"/>
        </w:rPr>
        <w:t>. In contrast,</w:t>
      </w:r>
      <w:r w:rsidRPr="006F6894">
        <w:rPr>
          <w:rFonts w:cs="Times New Roman"/>
          <w:szCs w:val="24"/>
        </w:rPr>
        <w:t xml:space="preserve"> exper</w:t>
      </w:r>
      <w:r w:rsidR="00A81D53" w:rsidRPr="006F6894">
        <w:rPr>
          <w:rFonts w:cs="Times New Roman"/>
          <w:szCs w:val="24"/>
        </w:rPr>
        <w:t>i</w:t>
      </w:r>
      <w:r w:rsidRPr="006F6894">
        <w:rPr>
          <w:rFonts w:cs="Times New Roman"/>
          <w:szCs w:val="24"/>
        </w:rPr>
        <w:t xml:space="preserve">ential readiness focuses on the student’s propensity to learn and </w:t>
      </w:r>
      <w:r w:rsidR="00A81D53" w:rsidRPr="006F6894">
        <w:rPr>
          <w:rFonts w:cs="Times New Roman"/>
          <w:szCs w:val="24"/>
        </w:rPr>
        <w:t>develop</w:t>
      </w:r>
      <w:r w:rsidRPr="006F6894">
        <w:rPr>
          <w:rFonts w:cs="Times New Roman"/>
          <w:szCs w:val="24"/>
        </w:rPr>
        <w:t xml:space="preserve"> new skills </w:t>
      </w:r>
      <w:r w:rsidR="00A81D53" w:rsidRPr="006F6894">
        <w:rPr>
          <w:rFonts w:cs="Times New Roman"/>
          <w:szCs w:val="24"/>
        </w:rPr>
        <w:t>to address</w:t>
      </w:r>
      <w:r w:rsidRPr="006F6894">
        <w:rPr>
          <w:rFonts w:cs="Times New Roman"/>
          <w:szCs w:val="24"/>
        </w:rPr>
        <w:t xml:space="preserve"> their cultural needs (</w:t>
      </w:r>
      <w:r w:rsidR="002A4470" w:rsidRPr="006F6894">
        <w:rPr>
          <w:rFonts w:cs="Times New Roman"/>
          <w:szCs w:val="24"/>
        </w:rPr>
        <w:t>Falkner</w:t>
      </w:r>
      <w:r w:rsidR="002A4470" w:rsidRPr="006F6894">
        <w:rPr>
          <w:rFonts w:cs="Times New Roman"/>
          <w:szCs w:val="24"/>
        </w:rPr>
        <w:t>, 2018</w:t>
      </w:r>
      <w:r w:rsidRPr="006F6894">
        <w:rPr>
          <w:rFonts w:cs="Times New Roman"/>
          <w:szCs w:val="24"/>
        </w:rPr>
        <w:t>). The indicators of the elderly population</w:t>
      </w:r>
      <w:r w:rsidR="00A81D53" w:rsidRPr="006F6894">
        <w:rPr>
          <w:rFonts w:cs="Times New Roman"/>
          <w:szCs w:val="24"/>
        </w:rPr>
        <w:t>'s</w:t>
      </w:r>
      <w:r w:rsidRPr="006F6894">
        <w:rPr>
          <w:rFonts w:cs="Times New Roman"/>
          <w:szCs w:val="24"/>
        </w:rPr>
        <w:t xml:space="preserve"> readiness to learn will involve each member’s participation and taking an active role in the learning process by asking questions and responding to the questions asked by the nurse educator. Other indicators of readiness to learn among the elderly learning population will involve frequently asking questions linked to osteoporosis</w:t>
      </w:r>
      <w:r w:rsidR="00A81D53" w:rsidRPr="006F6894">
        <w:rPr>
          <w:rFonts w:cs="Times New Roman"/>
          <w:szCs w:val="24"/>
        </w:rPr>
        <w:t>, the content presented during the teaching program,</w:t>
      </w:r>
      <w:r w:rsidRPr="006F6894">
        <w:rPr>
          <w:rFonts w:cs="Times New Roman"/>
          <w:szCs w:val="24"/>
        </w:rPr>
        <w:t xml:space="preserve"> and having a high percentage of the elderly target population honoring the invitation to attend the program. Other indicators of readiness to learn among the target population will include demonstrating attention and cooperation during the </w:t>
      </w:r>
      <w:r w:rsidR="00A81D53" w:rsidRPr="006F6894">
        <w:rPr>
          <w:rFonts w:cs="Times New Roman"/>
          <w:szCs w:val="24"/>
        </w:rPr>
        <w:t>educator's presentation of the teaching content</w:t>
      </w:r>
      <w:r w:rsidRPr="006F6894">
        <w:rPr>
          <w:rFonts w:cs="Times New Roman"/>
          <w:szCs w:val="24"/>
        </w:rPr>
        <w:t xml:space="preserve">. </w:t>
      </w:r>
    </w:p>
    <w:p w14:paraId="2B43C3B0" w14:textId="77777777" w:rsidR="004025A9" w:rsidRPr="006F6894" w:rsidRDefault="00151DFF" w:rsidP="006F6894">
      <w:pPr>
        <w:pStyle w:val="CommentText"/>
        <w:spacing w:line="480" w:lineRule="auto"/>
        <w:rPr>
          <w:sz w:val="24"/>
          <w:szCs w:val="24"/>
        </w:rPr>
      </w:pPr>
      <w:r w:rsidRPr="006F6894">
        <w:rPr>
          <w:b/>
          <w:sz w:val="24"/>
          <w:szCs w:val="24"/>
        </w:rPr>
        <w:lastRenderedPageBreak/>
        <w:t>Learning Theory to Be Utilized</w:t>
      </w:r>
      <w:r w:rsidRPr="006F6894">
        <w:rPr>
          <w:sz w:val="24"/>
          <w:szCs w:val="24"/>
        </w:rPr>
        <w:t xml:space="preserve">: </w:t>
      </w:r>
    </w:p>
    <w:p w14:paraId="157345BC" w14:textId="651FE2CD" w:rsidR="005259CF" w:rsidRPr="006F6894" w:rsidRDefault="004025A9" w:rsidP="006F6894">
      <w:pPr>
        <w:pStyle w:val="CommentText"/>
        <w:spacing w:line="480" w:lineRule="auto"/>
        <w:ind w:firstLine="720"/>
        <w:rPr>
          <w:bCs/>
          <w:sz w:val="24"/>
          <w:szCs w:val="24"/>
        </w:rPr>
      </w:pPr>
      <w:r w:rsidRPr="006F6894">
        <w:rPr>
          <w:sz w:val="24"/>
          <w:szCs w:val="24"/>
        </w:rPr>
        <w:t>The theory that will be effective in helping to realize the goal of enhancing secondary prevention of ost</w:t>
      </w:r>
      <w:r w:rsidR="00A81D53" w:rsidRPr="006F6894">
        <w:rPr>
          <w:sz w:val="24"/>
          <w:szCs w:val="24"/>
        </w:rPr>
        <w:t>e</w:t>
      </w:r>
      <w:r w:rsidRPr="006F6894">
        <w:rPr>
          <w:sz w:val="24"/>
          <w:szCs w:val="24"/>
        </w:rPr>
        <w:t xml:space="preserve">oporosis through the promotion of </w:t>
      </w:r>
      <w:r w:rsidRPr="006F6894">
        <w:rPr>
          <w:sz w:val="24"/>
          <w:szCs w:val="24"/>
        </w:rPr>
        <w:t>routine screening among the elderly</w:t>
      </w:r>
      <w:r w:rsidRPr="006F6894">
        <w:rPr>
          <w:sz w:val="24"/>
          <w:szCs w:val="24"/>
        </w:rPr>
        <w:t xml:space="preserve"> target population is the Teach theory (</w:t>
      </w:r>
      <w:r w:rsidRPr="006F6894">
        <w:rPr>
          <w:bCs/>
          <w:sz w:val="24"/>
          <w:szCs w:val="24"/>
        </w:rPr>
        <w:t>Yen &amp; Leasure, 2019</w:t>
      </w:r>
      <w:r w:rsidRPr="006F6894">
        <w:rPr>
          <w:sz w:val="24"/>
          <w:szCs w:val="24"/>
        </w:rPr>
        <w:t xml:space="preserve">). </w:t>
      </w:r>
      <w:r w:rsidR="00A81D53" w:rsidRPr="006F6894">
        <w:rPr>
          <w:sz w:val="24"/>
          <w:szCs w:val="24"/>
        </w:rPr>
        <w:t>As its name suggests, the model involves teaching students about a specific topic and assigning</w:t>
      </w:r>
      <w:r w:rsidRPr="006F6894">
        <w:rPr>
          <w:sz w:val="24"/>
          <w:szCs w:val="24"/>
        </w:rPr>
        <w:t xml:space="preserve"> tasks that allow the instructor to assess whether the students have synthesized and comprehended the lesson (Yen &amp; Leasure, 2019). In the community teaching program, the students will be taught</w:t>
      </w:r>
      <w:r w:rsidRPr="006F6894">
        <w:rPr>
          <w:sz w:val="24"/>
          <w:szCs w:val="24"/>
        </w:rPr>
        <w:t xml:space="preserve"> the significance of </w:t>
      </w:r>
      <w:r w:rsidRPr="006F6894">
        <w:rPr>
          <w:sz w:val="24"/>
          <w:szCs w:val="24"/>
        </w:rPr>
        <w:t xml:space="preserve">routine screening among the elderly </w:t>
      </w:r>
      <w:r w:rsidRPr="006F6894">
        <w:rPr>
          <w:sz w:val="24"/>
          <w:szCs w:val="24"/>
        </w:rPr>
        <w:t xml:space="preserve">as a preventive measure </w:t>
      </w:r>
      <w:r w:rsidR="00A81D53" w:rsidRPr="006F6894">
        <w:rPr>
          <w:sz w:val="24"/>
          <w:szCs w:val="24"/>
        </w:rPr>
        <w:t>for</w:t>
      </w:r>
      <w:r w:rsidRPr="006F6894">
        <w:rPr>
          <w:sz w:val="24"/>
          <w:szCs w:val="24"/>
        </w:rPr>
        <w:t xml:space="preserve"> fracture</w:t>
      </w:r>
      <w:r w:rsidR="00A81D53" w:rsidRPr="006F6894">
        <w:rPr>
          <w:sz w:val="24"/>
          <w:szCs w:val="24"/>
        </w:rPr>
        <w:t>s</w:t>
      </w:r>
      <w:r w:rsidRPr="006F6894">
        <w:rPr>
          <w:sz w:val="24"/>
          <w:szCs w:val="24"/>
        </w:rPr>
        <w:t xml:space="preserve">. The instructor will utilize a projected </w:t>
      </w:r>
      <w:r w:rsidR="00A81D53" w:rsidRPr="006F6894">
        <w:rPr>
          <w:sz w:val="24"/>
          <w:szCs w:val="24"/>
        </w:rPr>
        <w:t>PowerP</w:t>
      </w:r>
      <w:r w:rsidRPr="006F6894">
        <w:rPr>
          <w:sz w:val="24"/>
          <w:szCs w:val="24"/>
        </w:rPr>
        <w:t>oint presentation on osteoporosis</w:t>
      </w:r>
      <w:r w:rsidR="00A81D53" w:rsidRPr="006F6894">
        <w:rPr>
          <w:sz w:val="24"/>
          <w:szCs w:val="24"/>
        </w:rPr>
        <w:t>,</w:t>
      </w:r>
      <w:r w:rsidRPr="006F6894">
        <w:rPr>
          <w:sz w:val="24"/>
          <w:szCs w:val="24"/>
        </w:rPr>
        <w:t xml:space="preserve"> the </w:t>
      </w:r>
      <w:r w:rsidR="00A81D53" w:rsidRPr="006F6894">
        <w:rPr>
          <w:sz w:val="24"/>
          <w:szCs w:val="24"/>
        </w:rPr>
        <w:t>import</w:t>
      </w:r>
      <w:r w:rsidRPr="006F6894">
        <w:rPr>
          <w:sz w:val="24"/>
          <w:szCs w:val="24"/>
        </w:rPr>
        <w:t>ance of routine screening among the elderly</w:t>
      </w:r>
      <w:r w:rsidR="002B12C4" w:rsidRPr="006F6894">
        <w:rPr>
          <w:sz w:val="24"/>
          <w:szCs w:val="24"/>
        </w:rPr>
        <w:t xml:space="preserve">, </w:t>
      </w:r>
      <w:r w:rsidR="00A81D53" w:rsidRPr="006F6894">
        <w:rPr>
          <w:sz w:val="24"/>
          <w:szCs w:val="24"/>
        </w:rPr>
        <w:t xml:space="preserve">and </w:t>
      </w:r>
      <w:r w:rsidR="002B12C4" w:rsidRPr="006F6894">
        <w:rPr>
          <w:sz w:val="24"/>
          <w:szCs w:val="24"/>
        </w:rPr>
        <w:t xml:space="preserve">the risks involved in </w:t>
      </w:r>
      <w:r w:rsidR="00A81D53" w:rsidRPr="006F6894">
        <w:rPr>
          <w:sz w:val="24"/>
          <w:szCs w:val="24"/>
        </w:rPr>
        <w:t xml:space="preserve">the </w:t>
      </w:r>
      <w:r w:rsidR="002B12C4" w:rsidRPr="006F6894">
        <w:rPr>
          <w:sz w:val="24"/>
          <w:szCs w:val="24"/>
        </w:rPr>
        <w:t xml:space="preserve">late identification of osteoporosis. At the end of the </w:t>
      </w:r>
      <w:r w:rsidR="00A81D53" w:rsidRPr="006F6894">
        <w:rPr>
          <w:sz w:val="24"/>
          <w:szCs w:val="24"/>
        </w:rPr>
        <w:t>PowerP</w:t>
      </w:r>
      <w:r w:rsidR="002B12C4" w:rsidRPr="006F6894">
        <w:rPr>
          <w:sz w:val="24"/>
          <w:szCs w:val="24"/>
        </w:rPr>
        <w:t xml:space="preserve">oint presentation, the nurse instructor will ask the participants questions </w:t>
      </w:r>
      <w:r w:rsidR="00A81D53" w:rsidRPr="006F6894">
        <w:rPr>
          <w:sz w:val="24"/>
          <w:szCs w:val="24"/>
        </w:rPr>
        <w:t>about</w:t>
      </w:r>
      <w:r w:rsidR="002B12C4" w:rsidRPr="006F6894">
        <w:rPr>
          <w:sz w:val="24"/>
          <w:szCs w:val="24"/>
        </w:rPr>
        <w:t xml:space="preserve"> the presented content to establish their comprehension and retention. </w:t>
      </w:r>
      <w:r w:rsidR="00A81D53" w:rsidRPr="006F6894">
        <w:rPr>
          <w:sz w:val="24"/>
          <w:szCs w:val="24"/>
        </w:rPr>
        <w:t>The presented content will be paramount in improving their knowledge and willingness to engage in routine osteoporosis screening</w:t>
      </w:r>
      <w:r w:rsidR="0086281D" w:rsidRPr="006F6894">
        <w:rPr>
          <w:sz w:val="24"/>
          <w:szCs w:val="24"/>
        </w:rPr>
        <w:t xml:space="preserve">. </w:t>
      </w:r>
    </w:p>
    <w:p w14:paraId="3998BD26" w14:textId="270BE499" w:rsidR="00151DFF" w:rsidRPr="006F6894" w:rsidRDefault="00151DFF" w:rsidP="006F6894">
      <w:pPr>
        <w:pStyle w:val="GrandCanyonBodyText"/>
        <w:spacing w:after="0" w:line="480" w:lineRule="auto"/>
        <w:ind w:firstLine="0"/>
        <w:rPr>
          <w:rFonts w:cs="Times New Roman"/>
          <w:szCs w:val="24"/>
        </w:rPr>
      </w:pPr>
      <w:r w:rsidRPr="006F6894">
        <w:rPr>
          <w:rFonts w:cs="Times New Roman"/>
          <w:b/>
          <w:szCs w:val="24"/>
        </w:rPr>
        <w:t>Goal:</w:t>
      </w:r>
      <w:r w:rsidRPr="006F6894">
        <w:rPr>
          <w:rFonts w:cs="Times New Roman"/>
          <w:szCs w:val="24"/>
        </w:rPr>
        <w:t xml:space="preserve"> Healthy People 2020 (HP2020) objective(s) utilized as the goal for the teaching. </w:t>
      </w:r>
    </w:p>
    <w:p w14:paraId="51E5CC12" w14:textId="6D07FAC9" w:rsidR="00151DFF" w:rsidRPr="006F6894" w:rsidRDefault="00617418" w:rsidP="006F6894">
      <w:pPr>
        <w:pStyle w:val="GrandCanyonBodyText"/>
        <w:spacing w:after="0" w:line="480" w:lineRule="auto"/>
        <w:ind w:firstLine="0"/>
        <w:rPr>
          <w:rFonts w:cs="Times New Roman"/>
          <w:szCs w:val="24"/>
        </w:rPr>
      </w:pPr>
      <w:r w:rsidRPr="006F6894">
        <w:rPr>
          <w:rFonts w:cs="Times New Roman"/>
          <w:szCs w:val="24"/>
        </w:rPr>
        <w:tab/>
      </w:r>
      <w:r w:rsidR="005259CF" w:rsidRPr="006F6894">
        <w:rPr>
          <w:rFonts w:cs="Times New Roman"/>
          <w:szCs w:val="24"/>
        </w:rPr>
        <w:t xml:space="preserve">The </w:t>
      </w:r>
      <w:r w:rsidR="005259CF" w:rsidRPr="006F6894">
        <w:rPr>
          <w:rFonts w:cs="Times New Roman"/>
          <w:szCs w:val="24"/>
        </w:rPr>
        <w:t>Healthy People 2020 (HP2020) objective(s) utilized as the goal for teaching</w:t>
      </w:r>
      <w:r w:rsidR="005259CF" w:rsidRPr="006F6894">
        <w:rPr>
          <w:rFonts w:cs="Times New Roman"/>
          <w:szCs w:val="24"/>
        </w:rPr>
        <w:t xml:space="preserve"> the elderly population regarding the need for routine </w:t>
      </w:r>
      <w:r w:rsidR="00102F21" w:rsidRPr="006F6894">
        <w:rPr>
          <w:rFonts w:cs="Times New Roman"/>
          <w:szCs w:val="24"/>
        </w:rPr>
        <w:t xml:space="preserve">screening for osteoporosis is </w:t>
      </w:r>
      <w:r w:rsidR="00102F21" w:rsidRPr="006F6894">
        <w:rPr>
          <w:rFonts w:cs="Times New Roman"/>
          <w:bCs w:val="0"/>
          <w:kern w:val="0"/>
          <w:szCs w:val="24"/>
        </w:rPr>
        <w:t xml:space="preserve">“Attain high-quality, longer lives free of preventable disease, disability, injury, and premature death” (CDC, 2020). </w:t>
      </w:r>
      <w:r w:rsidR="00102F21" w:rsidRPr="006F6894">
        <w:rPr>
          <w:rFonts w:cs="Times New Roman"/>
          <w:bCs w:val="0"/>
          <w:kern w:val="0"/>
          <w:szCs w:val="24"/>
        </w:rPr>
        <w:t xml:space="preserve">The goal of teaching this population has also been derived from the </w:t>
      </w:r>
      <w:r w:rsidR="00102F21" w:rsidRPr="006F6894">
        <w:rPr>
          <w:rFonts w:cs="Times New Roman"/>
          <w:bCs w:val="0"/>
          <w:kern w:val="0"/>
          <w:szCs w:val="24"/>
        </w:rPr>
        <w:t>2020 topics</w:t>
      </w:r>
      <w:r w:rsidR="00A81D53" w:rsidRPr="006F6894">
        <w:rPr>
          <w:rFonts w:cs="Times New Roman"/>
          <w:bCs w:val="0"/>
          <w:kern w:val="0"/>
          <w:szCs w:val="24"/>
        </w:rPr>
        <w:t>,</w:t>
      </w:r>
      <w:r w:rsidR="00102F21" w:rsidRPr="006F6894">
        <w:rPr>
          <w:rFonts w:cs="Times New Roman"/>
          <w:bCs w:val="0"/>
          <w:kern w:val="0"/>
          <w:szCs w:val="24"/>
        </w:rPr>
        <w:t xml:space="preserve"> namely “Arthritis, Osteoporosis, and chronic back conditions”</w:t>
      </w:r>
      <w:r w:rsidR="00A81D53" w:rsidRPr="006F6894">
        <w:rPr>
          <w:rFonts w:cs="Times New Roman"/>
          <w:bCs w:val="0"/>
          <w:kern w:val="0"/>
          <w:szCs w:val="24"/>
        </w:rPr>
        <w:t>,</w:t>
      </w:r>
      <w:r w:rsidR="00102F21" w:rsidRPr="006F6894">
        <w:rPr>
          <w:rFonts w:cs="Times New Roman"/>
          <w:bCs w:val="0"/>
          <w:kern w:val="0"/>
          <w:szCs w:val="24"/>
        </w:rPr>
        <w:t xml:space="preserve"> </w:t>
      </w:r>
      <w:r w:rsidR="00102F21" w:rsidRPr="006F6894">
        <w:rPr>
          <w:rFonts w:cs="Times New Roman"/>
          <w:bCs w:val="0"/>
          <w:kern w:val="0"/>
          <w:szCs w:val="24"/>
        </w:rPr>
        <w:t>and the success in teaching the elderly population regarding the need for routine screening for osteoporosis will help in achieving the o</w:t>
      </w:r>
      <w:r w:rsidR="00102F21" w:rsidRPr="006F6894">
        <w:rPr>
          <w:rFonts w:cs="Times New Roman"/>
          <w:bCs w:val="0"/>
          <w:kern w:val="0"/>
          <w:szCs w:val="24"/>
        </w:rPr>
        <w:t>bjective AOCBC-10 and AOCBC-11 (HealthyPeople.gov., 202</w:t>
      </w:r>
      <w:r w:rsidR="00411E9D" w:rsidRPr="006F6894">
        <w:rPr>
          <w:rFonts w:cs="Times New Roman"/>
          <w:bCs w:val="0"/>
          <w:kern w:val="0"/>
          <w:szCs w:val="24"/>
        </w:rPr>
        <w:t>3</w:t>
      </w:r>
      <w:r w:rsidR="00102F21" w:rsidRPr="006F6894">
        <w:rPr>
          <w:rFonts w:cs="Times New Roman"/>
          <w:bCs w:val="0"/>
          <w:kern w:val="0"/>
          <w:szCs w:val="24"/>
        </w:rPr>
        <w:t>).</w:t>
      </w:r>
      <w:r w:rsidR="00B57621" w:rsidRPr="006F6894">
        <w:rPr>
          <w:rFonts w:cs="Times New Roman"/>
          <w:bCs w:val="0"/>
          <w:kern w:val="0"/>
          <w:szCs w:val="24"/>
        </w:rPr>
        <w:t xml:space="preserve"> Specifically, the objectives that this teaching plan will help in a</w:t>
      </w:r>
      <w:r w:rsidR="00A81D53" w:rsidRPr="006F6894">
        <w:rPr>
          <w:rFonts w:cs="Times New Roman"/>
          <w:bCs w:val="0"/>
          <w:kern w:val="0"/>
          <w:szCs w:val="24"/>
        </w:rPr>
        <w:t>ttain</w:t>
      </w:r>
      <w:r w:rsidR="00B57621" w:rsidRPr="006F6894">
        <w:rPr>
          <w:rFonts w:cs="Times New Roman"/>
          <w:bCs w:val="0"/>
          <w:kern w:val="0"/>
          <w:szCs w:val="24"/>
        </w:rPr>
        <w:t>ing o</w:t>
      </w:r>
      <w:r w:rsidR="00B57621" w:rsidRPr="006F6894">
        <w:rPr>
          <w:rFonts w:cs="Times New Roman"/>
          <w:bCs w:val="0"/>
          <w:kern w:val="0"/>
          <w:szCs w:val="24"/>
        </w:rPr>
        <w:t>bjective AOCBC-10</w:t>
      </w:r>
      <w:r w:rsidR="00A81D53" w:rsidRPr="006F6894">
        <w:rPr>
          <w:rFonts w:cs="Times New Roman"/>
          <w:bCs w:val="0"/>
          <w:kern w:val="0"/>
          <w:szCs w:val="24"/>
        </w:rPr>
        <w:t>,</w:t>
      </w:r>
      <w:r w:rsidR="00B57621" w:rsidRPr="006F6894">
        <w:rPr>
          <w:rFonts w:cs="Times New Roman"/>
          <w:bCs w:val="0"/>
          <w:kern w:val="0"/>
          <w:szCs w:val="24"/>
        </w:rPr>
        <w:t xml:space="preserve"> </w:t>
      </w:r>
      <w:r w:rsidR="00A81D53" w:rsidRPr="006F6894">
        <w:rPr>
          <w:rFonts w:cs="Times New Roman"/>
          <w:bCs w:val="0"/>
          <w:kern w:val="0"/>
          <w:szCs w:val="24"/>
        </w:rPr>
        <w:t>which</w:t>
      </w:r>
      <w:r w:rsidR="00B57621" w:rsidRPr="006F6894">
        <w:rPr>
          <w:rFonts w:cs="Times New Roman"/>
          <w:bCs w:val="0"/>
          <w:kern w:val="0"/>
          <w:szCs w:val="24"/>
        </w:rPr>
        <w:t xml:space="preserve"> </w:t>
      </w:r>
      <w:r w:rsidR="00B57621" w:rsidRPr="006F6894">
        <w:rPr>
          <w:rFonts w:cs="Times New Roman"/>
          <w:bCs w:val="0"/>
          <w:kern w:val="0"/>
          <w:szCs w:val="24"/>
        </w:rPr>
        <w:t xml:space="preserve">seeks to reduce the </w:t>
      </w:r>
      <w:r w:rsidR="00B57621" w:rsidRPr="006F6894">
        <w:rPr>
          <w:rFonts w:cs="Times New Roman"/>
          <w:bCs w:val="0"/>
          <w:kern w:val="0"/>
          <w:szCs w:val="24"/>
        </w:rPr>
        <w:lastRenderedPageBreak/>
        <w:t>number of adults with osteoporosis</w:t>
      </w:r>
      <w:r w:rsidR="00A81D53" w:rsidRPr="006F6894">
        <w:rPr>
          <w:rFonts w:cs="Times New Roman"/>
          <w:bCs w:val="0"/>
          <w:kern w:val="0"/>
          <w:szCs w:val="24"/>
        </w:rPr>
        <w:t>. In contrast,</w:t>
      </w:r>
      <w:r w:rsidR="00B57621" w:rsidRPr="006F6894">
        <w:rPr>
          <w:rFonts w:cs="Times New Roman"/>
          <w:bCs w:val="0"/>
          <w:kern w:val="0"/>
          <w:szCs w:val="24"/>
        </w:rPr>
        <w:t xml:space="preserve"> objective AOCBC-11 </w:t>
      </w:r>
      <w:r w:rsidR="00B57621" w:rsidRPr="006F6894">
        <w:rPr>
          <w:rFonts w:cs="Times New Roman"/>
          <w:bCs w:val="0"/>
          <w:kern w:val="0"/>
          <w:szCs w:val="24"/>
        </w:rPr>
        <w:t>sub-objective</w:t>
      </w:r>
      <w:r w:rsidR="00A81D53" w:rsidRPr="006F6894">
        <w:rPr>
          <w:rFonts w:cs="Times New Roman"/>
          <w:bCs w:val="0"/>
          <w:kern w:val="0"/>
          <w:szCs w:val="24"/>
        </w:rPr>
        <w:t>s</w:t>
      </w:r>
      <w:r w:rsidR="00B57621" w:rsidRPr="006F6894">
        <w:rPr>
          <w:rFonts w:cs="Times New Roman"/>
          <w:bCs w:val="0"/>
          <w:kern w:val="0"/>
          <w:szCs w:val="24"/>
        </w:rPr>
        <w:t xml:space="preserve"> 11.1 and 11.2</w:t>
      </w:r>
      <w:r w:rsidR="00B57621" w:rsidRPr="006F6894">
        <w:rPr>
          <w:rFonts w:cs="Times New Roman"/>
          <w:bCs w:val="0"/>
          <w:kern w:val="0"/>
          <w:szCs w:val="24"/>
        </w:rPr>
        <w:t xml:space="preserve"> </w:t>
      </w:r>
      <w:r w:rsidR="00A81D53" w:rsidRPr="006F6894">
        <w:rPr>
          <w:rFonts w:cs="Times New Roman"/>
          <w:bCs w:val="0"/>
          <w:kern w:val="0"/>
          <w:szCs w:val="24"/>
        </w:rPr>
        <w:t>are geared towards reducing hip fractures among females and males</w:t>
      </w:r>
      <w:r w:rsidR="00B57621" w:rsidRPr="006F6894">
        <w:rPr>
          <w:rFonts w:cs="Times New Roman"/>
          <w:bCs w:val="0"/>
          <w:kern w:val="0"/>
          <w:szCs w:val="24"/>
        </w:rPr>
        <w:t xml:space="preserve"> above 65 years</w:t>
      </w:r>
      <w:r w:rsidR="00A81D53" w:rsidRPr="006F6894">
        <w:rPr>
          <w:rFonts w:cs="Times New Roman"/>
          <w:bCs w:val="0"/>
          <w:kern w:val="0"/>
          <w:szCs w:val="24"/>
        </w:rPr>
        <w:t>,</w:t>
      </w:r>
      <w:r w:rsidR="00B57621" w:rsidRPr="006F6894">
        <w:rPr>
          <w:rFonts w:cs="Times New Roman"/>
          <w:bCs w:val="0"/>
          <w:kern w:val="0"/>
          <w:szCs w:val="24"/>
        </w:rPr>
        <w:t xml:space="preserve"> respectively</w:t>
      </w:r>
      <w:r w:rsidR="002848BB" w:rsidRPr="006F6894">
        <w:rPr>
          <w:rFonts w:cs="Times New Roman"/>
          <w:bCs w:val="0"/>
          <w:kern w:val="0"/>
          <w:szCs w:val="24"/>
        </w:rPr>
        <w:t xml:space="preserve"> </w:t>
      </w:r>
      <w:r w:rsidR="002848BB" w:rsidRPr="006F6894">
        <w:rPr>
          <w:rFonts w:cs="Times New Roman"/>
          <w:bCs w:val="0"/>
          <w:kern w:val="0"/>
          <w:szCs w:val="24"/>
        </w:rPr>
        <w:t>(HealthyPeople.gov., 2023).</w:t>
      </w:r>
      <w:r w:rsidR="002848BB" w:rsidRPr="006F6894">
        <w:rPr>
          <w:rFonts w:cs="Times New Roman"/>
          <w:bCs w:val="0"/>
          <w:kern w:val="0"/>
          <w:szCs w:val="24"/>
        </w:rPr>
        <w:t xml:space="preserve"> Essentially, this teaching topic</w:t>
      </w:r>
      <w:r w:rsidR="003D3262" w:rsidRPr="006F6894">
        <w:rPr>
          <w:rFonts w:cs="Times New Roman"/>
          <w:bCs w:val="0"/>
          <w:kern w:val="0"/>
          <w:szCs w:val="24"/>
        </w:rPr>
        <w:t xml:space="preserve"> aligns with </w:t>
      </w:r>
      <w:r w:rsidR="003D3262" w:rsidRPr="006F6894">
        <w:rPr>
          <w:rFonts w:cs="Times New Roman"/>
          <w:bCs w:val="0"/>
          <w:kern w:val="0"/>
          <w:szCs w:val="24"/>
        </w:rPr>
        <w:t>the Healthy people 2020 overreaching goals and objectives</w:t>
      </w:r>
      <w:r w:rsidR="003D3262" w:rsidRPr="006F6894">
        <w:rPr>
          <w:rFonts w:cs="Times New Roman"/>
          <w:bCs w:val="0"/>
          <w:kern w:val="0"/>
          <w:szCs w:val="24"/>
        </w:rPr>
        <w:t xml:space="preserve">, making it an effective plan </w:t>
      </w:r>
      <w:r w:rsidR="00A81D53" w:rsidRPr="006F6894">
        <w:rPr>
          <w:rFonts w:cs="Times New Roman"/>
          <w:bCs w:val="0"/>
          <w:kern w:val="0"/>
          <w:szCs w:val="24"/>
        </w:rPr>
        <w:t>for</w:t>
      </w:r>
      <w:r w:rsidR="003D3262" w:rsidRPr="006F6894">
        <w:rPr>
          <w:rFonts w:cs="Times New Roman"/>
          <w:bCs w:val="0"/>
          <w:kern w:val="0"/>
          <w:szCs w:val="24"/>
        </w:rPr>
        <w:t xml:space="preserve"> promoting healthy behaviors among the elderly population. </w:t>
      </w:r>
    </w:p>
    <w:p w14:paraId="77D2ACDF" w14:textId="2CFFAC16" w:rsidR="00151DFF" w:rsidRPr="006F6894" w:rsidRDefault="00151DFF" w:rsidP="006F6894">
      <w:pPr>
        <w:pStyle w:val="GrandCanyonBodyText"/>
        <w:spacing w:after="0" w:line="480" w:lineRule="auto"/>
        <w:ind w:firstLine="0"/>
        <w:rPr>
          <w:rFonts w:cs="Times New Roman"/>
          <w:szCs w:val="24"/>
        </w:rPr>
      </w:pPr>
      <w:r w:rsidRPr="006F6894">
        <w:rPr>
          <w:rFonts w:cs="Times New Roman"/>
          <w:b/>
          <w:szCs w:val="24"/>
        </w:rPr>
        <w:t xml:space="preserve">How Does This HP2020 Objective Relate to Alma Ata’s </w:t>
      </w:r>
      <w:r w:rsidRPr="006F6894">
        <w:rPr>
          <w:rFonts w:cs="Times New Roman"/>
          <w:b/>
          <w:i/>
          <w:szCs w:val="24"/>
        </w:rPr>
        <w:t>Health for All</w:t>
      </w:r>
      <w:r w:rsidRPr="006F6894">
        <w:rPr>
          <w:rFonts w:cs="Times New Roman"/>
          <w:b/>
          <w:szCs w:val="24"/>
        </w:rPr>
        <w:t xml:space="preserve"> Global Initiatives</w:t>
      </w:r>
      <w:r w:rsidRPr="006F6894">
        <w:rPr>
          <w:rFonts w:cs="Times New Roman"/>
          <w:szCs w:val="24"/>
        </w:rPr>
        <w:t xml:space="preserve"> </w:t>
      </w:r>
    </w:p>
    <w:p w14:paraId="0BD6DDF4" w14:textId="03F35744" w:rsidR="00151DFF" w:rsidRPr="006F6894" w:rsidRDefault="00617418" w:rsidP="006F6894">
      <w:pPr>
        <w:spacing w:line="480" w:lineRule="auto"/>
        <w:ind w:firstLine="720"/>
      </w:pPr>
      <w:r w:rsidRPr="006F6894">
        <w:t xml:space="preserve">Alma Ata’s Health for Allglobal initiatives </w:t>
      </w:r>
      <w:r w:rsidR="00A81D53" w:rsidRPr="006F6894">
        <w:t>is</w:t>
      </w:r>
      <w:r w:rsidRPr="006F6894">
        <w:t xml:space="preserve"> similar to the Healthy People 2020</w:t>
      </w:r>
      <w:r w:rsidRPr="006F6894">
        <w:t xml:space="preserve"> goals in that both are geared toward promoti</w:t>
      </w:r>
      <w:r w:rsidR="00A81D53" w:rsidRPr="006F6894">
        <w:t>ng health for and preventing</w:t>
      </w:r>
      <w:r w:rsidRPr="006F6894">
        <w:t xml:space="preserve"> preventable health conditions. Specifically, </w:t>
      </w:r>
      <w:r w:rsidRPr="006F6894">
        <w:t>Alma Ata’s Health for All Global Initiative</w:t>
      </w:r>
      <w:r w:rsidRPr="006F6894">
        <w:t xml:space="preserve"> </w:t>
      </w:r>
      <w:r w:rsidR="00A81D53" w:rsidRPr="006F6894">
        <w:t>aims to increase life expectancy by preventing</w:t>
      </w:r>
      <w:r w:rsidRPr="006F6894">
        <w:t xml:space="preserve"> preventable diseases, early detection, and behavior modification (</w:t>
      </w:r>
      <w:r w:rsidR="007E69FE" w:rsidRPr="006F6894">
        <w:t>HealthyPeople.gov., 202</w:t>
      </w:r>
      <w:r w:rsidR="007E69FE" w:rsidRPr="006F6894">
        <w:rPr>
          <w:bCs/>
        </w:rPr>
        <w:t>3</w:t>
      </w:r>
      <w:r w:rsidRPr="006F6894">
        <w:t xml:space="preserve">). The </w:t>
      </w:r>
      <w:r w:rsidRPr="006F6894">
        <w:t>Healthy People 2020 goals</w:t>
      </w:r>
      <w:r w:rsidRPr="006F6894">
        <w:t xml:space="preserve"> are directed towards </w:t>
      </w:r>
      <w:r w:rsidR="000C3EFD" w:rsidRPr="006F6894">
        <w:t xml:space="preserve">improving the health of all individuals </w:t>
      </w:r>
      <w:r w:rsidR="00790E4D" w:rsidRPr="006F6894">
        <w:t>with the intent of achieving a healthy community. It is also significant to note tha</w:t>
      </w:r>
      <w:r w:rsidR="00FD2CF7" w:rsidRPr="006F6894">
        <w:t xml:space="preserve">t this objective </w:t>
      </w:r>
      <w:r w:rsidR="00A81D53" w:rsidRPr="006F6894">
        <w:t>relates</w:t>
      </w:r>
      <w:r w:rsidR="00FD2CF7" w:rsidRPr="006F6894">
        <w:t xml:space="preserve"> to </w:t>
      </w:r>
      <w:r w:rsidR="00FD2CF7" w:rsidRPr="006F6894">
        <w:t>VII (3)</w:t>
      </w:r>
      <w:r w:rsidR="00A81D53" w:rsidRPr="006F6894">
        <w:t>,</w:t>
      </w:r>
      <w:r w:rsidR="00FD2CF7" w:rsidRPr="006F6894">
        <w:t xml:space="preserve"> recommend</w:t>
      </w:r>
      <w:r w:rsidR="00FD2CF7" w:rsidRPr="006F6894">
        <w:t>ing education o</w:t>
      </w:r>
      <w:r w:rsidR="00A81D53" w:rsidRPr="006F6894">
        <w:t>n</w:t>
      </w:r>
      <w:r w:rsidR="00FD2CF7" w:rsidRPr="006F6894">
        <w:t xml:space="preserve"> prevailing health conditions and </w:t>
      </w:r>
      <w:r w:rsidR="00A81D53" w:rsidRPr="006F6894">
        <w:t>promoting</w:t>
      </w:r>
      <w:r w:rsidR="00FD2CF7" w:rsidRPr="006F6894">
        <w:t xml:space="preserve"> preventive strategies as part of primary healthcare.</w:t>
      </w:r>
    </w:p>
    <w:p w14:paraId="17614708" w14:textId="77777777" w:rsidR="00151DFF" w:rsidRPr="006F6894" w:rsidRDefault="00151DFF" w:rsidP="006F6894">
      <w:pPr>
        <w:spacing w:line="480" w:lineRule="auto"/>
      </w:pPr>
      <w:r w:rsidRPr="006F6894">
        <w:rPr>
          <w:b/>
        </w:rPr>
        <w:t>Develop Behavioral Objectives (Including Domains), Content, and Strategies/Methods</w:t>
      </w:r>
      <w:r w:rsidRPr="006F689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151DFF" w:rsidRPr="006F6894" w14:paraId="21DBB679" w14:textId="77777777" w:rsidTr="00FF1E1B">
        <w:tc>
          <w:tcPr>
            <w:tcW w:w="2952" w:type="dxa"/>
          </w:tcPr>
          <w:p w14:paraId="09EEC132" w14:textId="77777777" w:rsidR="00151DFF" w:rsidRPr="006F6894" w:rsidRDefault="00151DFF" w:rsidP="006F6894">
            <w:pPr>
              <w:spacing w:line="480" w:lineRule="auto"/>
              <w:rPr>
                <w:b/>
              </w:rPr>
            </w:pPr>
            <w:r w:rsidRPr="006F6894">
              <w:rPr>
                <w:b/>
              </w:rPr>
              <w:t xml:space="preserve">Behavioral Objective </w:t>
            </w:r>
            <w:r w:rsidRPr="006F6894">
              <w:rPr>
                <w:b/>
              </w:rPr>
              <w:br/>
              <w:t>and Domain</w:t>
            </w:r>
          </w:p>
          <w:p w14:paraId="277652FD" w14:textId="5A2E6FF4" w:rsidR="00151DFF" w:rsidRPr="006F6894" w:rsidRDefault="00151DFF" w:rsidP="006F6894">
            <w:pPr>
              <w:spacing w:line="480" w:lineRule="auto"/>
            </w:pPr>
          </w:p>
        </w:tc>
        <w:tc>
          <w:tcPr>
            <w:tcW w:w="2952" w:type="dxa"/>
          </w:tcPr>
          <w:p w14:paraId="015A73C1" w14:textId="77777777" w:rsidR="00151DFF" w:rsidRPr="006F6894" w:rsidRDefault="00151DFF" w:rsidP="006F6894">
            <w:pPr>
              <w:spacing w:line="480" w:lineRule="auto"/>
            </w:pPr>
            <w:r w:rsidRPr="006F6894">
              <w:rPr>
                <w:b/>
              </w:rPr>
              <w:t xml:space="preserve">Content  </w:t>
            </w:r>
            <w:r w:rsidRPr="006F6894">
              <w:rPr>
                <w:b/>
              </w:rPr>
              <w:br/>
            </w:r>
            <w:r w:rsidRPr="006F6894">
              <w:t>(be specific)</w:t>
            </w:r>
          </w:p>
          <w:p w14:paraId="49631091" w14:textId="48FB1E82" w:rsidR="00FD2CF7" w:rsidRPr="006F6894" w:rsidRDefault="00FD2CF7" w:rsidP="006F6894">
            <w:pPr>
              <w:spacing w:line="480" w:lineRule="auto"/>
            </w:pPr>
          </w:p>
        </w:tc>
        <w:tc>
          <w:tcPr>
            <w:tcW w:w="2952" w:type="dxa"/>
          </w:tcPr>
          <w:p w14:paraId="787F557D" w14:textId="77777777" w:rsidR="00151DFF" w:rsidRPr="006F6894" w:rsidRDefault="00151DFF" w:rsidP="006F6894">
            <w:pPr>
              <w:spacing w:line="480" w:lineRule="auto"/>
              <w:rPr>
                <w:b/>
              </w:rPr>
            </w:pPr>
            <w:r w:rsidRPr="006F6894">
              <w:rPr>
                <w:b/>
              </w:rPr>
              <w:t>Strategies/Methods</w:t>
            </w:r>
          </w:p>
          <w:p w14:paraId="47FF9798" w14:textId="77777777" w:rsidR="00151DFF" w:rsidRPr="006F6894" w:rsidRDefault="00151DFF" w:rsidP="006F6894">
            <w:pPr>
              <w:spacing w:line="480" w:lineRule="auto"/>
            </w:pPr>
            <w:r w:rsidRPr="006F6894">
              <w:t>(label and describe)</w:t>
            </w:r>
          </w:p>
          <w:p w14:paraId="33676D5F" w14:textId="4F4008D3" w:rsidR="00151DFF" w:rsidRPr="006F6894" w:rsidRDefault="00151DFF" w:rsidP="006F6894">
            <w:pPr>
              <w:spacing w:line="480" w:lineRule="auto"/>
            </w:pPr>
          </w:p>
        </w:tc>
      </w:tr>
      <w:tr w:rsidR="00151DFF" w:rsidRPr="006F6894" w14:paraId="5DE3817B" w14:textId="77777777" w:rsidTr="00FF1E1B">
        <w:tc>
          <w:tcPr>
            <w:tcW w:w="2952" w:type="dxa"/>
          </w:tcPr>
          <w:p w14:paraId="04F3F516" w14:textId="733D22FE" w:rsidR="00151DFF" w:rsidRPr="006F6894" w:rsidRDefault="00151DFF" w:rsidP="006F6894">
            <w:pPr>
              <w:pStyle w:val="GrandCanyonNumberedList"/>
              <w:numPr>
                <w:ilvl w:val="0"/>
                <w:numId w:val="0"/>
              </w:numPr>
              <w:spacing w:line="480" w:lineRule="auto"/>
            </w:pPr>
            <w:r w:rsidRPr="006F6894">
              <w:t>1.</w:t>
            </w:r>
            <w:r w:rsidR="00FD2CF7" w:rsidRPr="006F6894">
              <w:t xml:space="preserve"> </w:t>
            </w:r>
            <w:r w:rsidR="00FD2CF7" w:rsidRPr="006F6894">
              <w:t>Three</w:t>
            </w:r>
            <w:r w:rsidR="00A81D53" w:rsidRPr="006F6894">
              <w:t>-</w:t>
            </w:r>
            <w:r w:rsidR="00FD2CF7" w:rsidRPr="006F6894">
              <w:t xml:space="preserve">quarters of the elderly learners </w:t>
            </w:r>
            <w:r w:rsidR="00FD2CF7" w:rsidRPr="006F6894">
              <w:t xml:space="preserve">attending the teaching program </w:t>
            </w:r>
            <w:r w:rsidR="00FD2CF7" w:rsidRPr="006F6894">
              <w:t xml:space="preserve">will be able to define osteoporosis and identify at </w:t>
            </w:r>
            <w:r w:rsidR="00FD2CF7" w:rsidRPr="006F6894">
              <w:lastRenderedPageBreak/>
              <w:t>least one risk factor</w:t>
            </w:r>
            <w:r w:rsidR="00FD2CF7" w:rsidRPr="006F6894">
              <w:t xml:space="preserve"> at the end of the lesson</w:t>
            </w:r>
            <w:r w:rsidR="00FD2CF7" w:rsidRPr="006F6894">
              <w:t>. (Cognitive Domain)</w:t>
            </w:r>
          </w:p>
          <w:p w14:paraId="1E0DF827" w14:textId="77777777" w:rsidR="00151DFF" w:rsidRPr="006F6894" w:rsidRDefault="00151DFF" w:rsidP="006F6894">
            <w:pPr>
              <w:pStyle w:val="GrandCanyonNumberedList"/>
              <w:numPr>
                <w:ilvl w:val="0"/>
                <w:numId w:val="0"/>
              </w:numPr>
              <w:spacing w:line="480" w:lineRule="auto"/>
            </w:pPr>
          </w:p>
          <w:p w14:paraId="18F5BBA0" w14:textId="77777777" w:rsidR="00151DFF" w:rsidRPr="006F6894" w:rsidRDefault="00151DFF" w:rsidP="006F6894">
            <w:pPr>
              <w:pStyle w:val="GrandCanyonNumberedList"/>
              <w:numPr>
                <w:ilvl w:val="0"/>
                <w:numId w:val="0"/>
              </w:numPr>
              <w:spacing w:line="480" w:lineRule="auto"/>
            </w:pPr>
          </w:p>
          <w:p w14:paraId="262B993B" w14:textId="77777777" w:rsidR="00151DFF" w:rsidRPr="006F6894" w:rsidRDefault="00151DFF" w:rsidP="006F6894">
            <w:pPr>
              <w:pStyle w:val="GrandCanyonNumberedList"/>
              <w:numPr>
                <w:ilvl w:val="0"/>
                <w:numId w:val="0"/>
              </w:numPr>
              <w:spacing w:line="480" w:lineRule="auto"/>
            </w:pPr>
          </w:p>
        </w:tc>
        <w:tc>
          <w:tcPr>
            <w:tcW w:w="2952" w:type="dxa"/>
          </w:tcPr>
          <w:p w14:paraId="64CE3153" w14:textId="0BFD5DE2" w:rsidR="00FD2CF7" w:rsidRPr="006F6894" w:rsidRDefault="00151DFF" w:rsidP="006F6894">
            <w:pPr>
              <w:spacing w:line="480" w:lineRule="auto"/>
            </w:pPr>
            <w:r w:rsidRPr="006F6894">
              <w:lastRenderedPageBreak/>
              <w:t>1.</w:t>
            </w:r>
            <w:r w:rsidR="00FD2CF7" w:rsidRPr="006F6894">
              <w:t xml:space="preserve"> </w:t>
            </w:r>
            <w:r w:rsidR="00FD2CF7" w:rsidRPr="006F6894">
              <w:t xml:space="preserve">Osteoporosis is a medical condition </w:t>
            </w:r>
            <w:r w:rsidR="00A81D53" w:rsidRPr="006F6894">
              <w:t>resulting in the individual’s bone weakening</w:t>
            </w:r>
            <w:r w:rsidR="00FD2CF7" w:rsidRPr="006F6894">
              <w:t xml:space="preserve"> and at a higher risk of breaking.</w:t>
            </w:r>
          </w:p>
          <w:p w14:paraId="55471DA9" w14:textId="60494EA1" w:rsidR="00FD2CF7" w:rsidRPr="006F6894" w:rsidRDefault="00FD2CF7" w:rsidP="006F6894">
            <w:pPr>
              <w:spacing w:line="480" w:lineRule="auto"/>
            </w:pPr>
            <w:r w:rsidRPr="006F6894">
              <w:lastRenderedPageBreak/>
              <w:t>The severity of osteoporosis is categorized into four categories: normal, osteopenia, osteoporosis, and severe osteoporosis.</w:t>
            </w:r>
          </w:p>
          <w:p w14:paraId="71A2376F" w14:textId="2449B470" w:rsidR="00151DFF" w:rsidRPr="006F6894" w:rsidRDefault="00FD2CF7" w:rsidP="006F6894">
            <w:pPr>
              <w:pStyle w:val="GrandCanyonNumberedList"/>
              <w:numPr>
                <w:ilvl w:val="0"/>
                <w:numId w:val="0"/>
              </w:numPr>
              <w:spacing w:line="480" w:lineRule="auto"/>
            </w:pPr>
            <w:r w:rsidRPr="006F6894">
              <w:t>Individuals at the highest risk of developing osteoporosis include those above 65 years.</w:t>
            </w:r>
          </w:p>
        </w:tc>
        <w:tc>
          <w:tcPr>
            <w:tcW w:w="2952" w:type="dxa"/>
          </w:tcPr>
          <w:p w14:paraId="773596B4" w14:textId="0731B72F" w:rsidR="00151DFF" w:rsidRPr="006F6894" w:rsidRDefault="00151DFF" w:rsidP="006F6894">
            <w:pPr>
              <w:pStyle w:val="GrandCanyonNumberedList"/>
              <w:numPr>
                <w:ilvl w:val="0"/>
                <w:numId w:val="0"/>
              </w:numPr>
              <w:spacing w:line="480" w:lineRule="auto"/>
            </w:pPr>
            <w:r w:rsidRPr="006F6894">
              <w:lastRenderedPageBreak/>
              <w:t>1.</w:t>
            </w:r>
            <w:r w:rsidR="00FD2CF7" w:rsidRPr="006F6894">
              <w:t xml:space="preserve"> </w:t>
            </w:r>
            <w:r w:rsidR="00FD2CF7" w:rsidRPr="006F6894">
              <w:t xml:space="preserve">A </w:t>
            </w:r>
            <w:r w:rsidR="00A81D53" w:rsidRPr="006F6894">
              <w:t>PowerP</w:t>
            </w:r>
            <w:r w:rsidR="00FD2CF7" w:rsidRPr="006F6894">
              <w:t xml:space="preserve">oint presentation on osteoporosis, how it progresses and the risk factors for its development. </w:t>
            </w:r>
            <w:r w:rsidR="00FD2CF7" w:rsidRPr="006F6894">
              <w:lastRenderedPageBreak/>
              <w:t xml:space="preserve">Diagrams will </w:t>
            </w:r>
            <w:r w:rsidR="00A81D53" w:rsidRPr="006F6894">
              <w:t>facilitate</w:t>
            </w:r>
            <w:r w:rsidR="00FD2CF7" w:rsidRPr="006F6894">
              <w:t xml:space="preserve"> </w:t>
            </w:r>
            <w:r w:rsidR="00A81D53" w:rsidRPr="006F6894">
              <w:t>understanding</w:t>
            </w:r>
            <w:r w:rsidR="00FD2CF7" w:rsidRPr="006F6894">
              <w:t xml:space="preserve"> the content and captur</w:t>
            </w:r>
            <w:r w:rsidR="00A81D53" w:rsidRPr="006F6894">
              <w:t>e the audience's attention</w:t>
            </w:r>
            <w:r w:rsidR="00FD2CF7" w:rsidRPr="006F6894">
              <w:t>.</w:t>
            </w:r>
          </w:p>
        </w:tc>
      </w:tr>
      <w:tr w:rsidR="00151DFF" w:rsidRPr="006F6894" w14:paraId="12AACEE2" w14:textId="77777777" w:rsidTr="00FF1E1B">
        <w:tc>
          <w:tcPr>
            <w:tcW w:w="2952" w:type="dxa"/>
          </w:tcPr>
          <w:p w14:paraId="7BEB42E4" w14:textId="194D33DC" w:rsidR="00151DFF" w:rsidRPr="006F6894" w:rsidRDefault="00151DFF" w:rsidP="006F6894">
            <w:pPr>
              <w:pStyle w:val="GrandCanyonNumberedList"/>
              <w:numPr>
                <w:ilvl w:val="0"/>
                <w:numId w:val="0"/>
              </w:numPr>
              <w:spacing w:line="480" w:lineRule="auto"/>
            </w:pPr>
            <w:r w:rsidRPr="006F6894">
              <w:t>2.</w:t>
            </w:r>
            <w:r w:rsidR="00FD2CF7" w:rsidRPr="006F6894">
              <w:t xml:space="preserve"> </w:t>
            </w:r>
            <w:r w:rsidR="00FD2CF7" w:rsidRPr="006F6894">
              <w:t>Three</w:t>
            </w:r>
            <w:r w:rsidR="00A81D53" w:rsidRPr="006F6894">
              <w:t>-</w:t>
            </w:r>
            <w:r w:rsidR="00FD2CF7" w:rsidRPr="006F6894">
              <w:t xml:space="preserve">quarters of the elderly learners attending the teaching program will be able to </w:t>
            </w:r>
            <w:r w:rsidR="00241B53" w:rsidRPr="006F6894">
              <w:t xml:space="preserve">identify that </w:t>
            </w:r>
            <w:r w:rsidR="00FD2CF7" w:rsidRPr="006F6894">
              <w:t xml:space="preserve">osteoporosis </w:t>
            </w:r>
            <w:r w:rsidR="00241B53" w:rsidRPr="006F6894">
              <w:t>is one of the ri</w:t>
            </w:r>
            <w:r w:rsidR="00FD2CF7" w:rsidRPr="006F6894">
              <w:t>sk factor</w:t>
            </w:r>
            <w:r w:rsidR="00A81D53" w:rsidRPr="006F6894">
              <w:t>s</w:t>
            </w:r>
            <w:r w:rsidR="00FD2CF7" w:rsidRPr="006F6894">
              <w:t xml:space="preserve"> </w:t>
            </w:r>
            <w:r w:rsidR="00241B53" w:rsidRPr="006F6894">
              <w:t xml:space="preserve">for fragility fracture </w:t>
            </w:r>
            <w:r w:rsidR="00FD2CF7" w:rsidRPr="006F6894">
              <w:t>at the end of the lesson. (Cognitive Domain)</w:t>
            </w:r>
          </w:p>
          <w:p w14:paraId="0B7224A9" w14:textId="77777777" w:rsidR="00151DFF" w:rsidRPr="006F6894" w:rsidRDefault="00151DFF" w:rsidP="006F6894">
            <w:pPr>
              <w:pStyle w:val="GrandCanyonNumberedList"/>
              <w:numPr>
                <w:ilvl w:val="0"/>
                <w:numId w:val="0"/>
              </w:numPr>
              <w:spacing w:line="480" w:lineRule="auto"/>
            </w:pPr>
          </w:p>
          <w:p w14:paraId="34F5163A" w14:textId="77777777" w:rsidR="00151DFF" w:rsidRPr="006F6894" w:rsidRDefault="00151DFF" w:rsidP="006F6894">
            <w:pPr>
              <w:pStyle w:val="GrandCanyonNumberedList"/>
              <w:numPr>
                <w:ilvl w:val="0"/>
                <w:numId w:val="0"/>
              </w:numPr>
              <w:spacing w:line="480" w:lineRule="auto"/>
            </w:pPr>
          </w:p>
          <w:p w14:paraId="396276B4" w14:textId="77777777" w:rsidR="00151DFF" w:rsidRPr="006F6894" w:rsidRDefault="00151DFF" w:rsidP="006F6894">
            <w:pPr>
              <w:pStyle w:val="GrandCanyonNumberedList"/>
              <w:numPr>
                <w:ilvl w:val="0"/>
                <w:numId w:val="0"/>
              </w:numPr>
              <w:spacing w:line="480" w:lineRule="auto"/>
            </w:pPr>
          </w:p>
        </w:tc>
        <w:tc>
          <w:tcPr>
            <w:tcW w:w="2952" w:type="dxa"/>
          </w:tcPr>
          <w:p w14:paraId="1170A3BF" w14:textId="2B3F65E4" w:rsidR="00151DFF" w:rsidRPr="006F6894" w:rsidRDefault="00151DFF" w:rsidP="006F6894">
            <w:pPr>
              <w:pStyle w:val="GrandCanyonNumberedList"/>
              <w:numPr>
                <w:ilvl w:val="0"/>
                <w:numId w:val="0"/>
              </w:numPr>
              <w:spacing w:line="480" w:lineRule="auto"/>
            </w:pPr>
            <w:r w:rsidRPr="006F6894">
              <w:t>2.</w:t>
            </w:r>
            <w:r w:rsidR="00241B53" w:rsidRPr="006F6894">
              <w:t xml:space="preserve"> </w:t>
            </w:r>
            <w:r w:rsidR="00241B53" w:rsidRPr="006F6894">
              <w:t>Loss of bone density weakens the bones, making fragility fractures the most common complication of osteoporosis.</w:t>
            </w:r>
            <w:r w:rsidR="00241B53" w:rsidRPr="006F6894">
              <w:t xml:space="preserve"> The loss of bone density worsens with </w:t>
            </w:r>
            <w:r w:rsidR="00A81D53" w:rsidRPr="006F6894">
              <w:t>age,</w:t>
            </w:r>
            <w:r w:rsidR="00241B53" w:rsidRPr="006F6894">
              <w:t xml:space="preserve"> making it a health priority for the elderly population. </w:t>
            </w:r>
          </w:p>
        </w:tc>
        <w:tc>
          <w:tcPr>
            <w:tcW w:w="2952" w:type="dxa"/>
          </w:tcPr>
          <w:p w14:paraId="29468D63" w14:textId="599E9556" w:rsidR="00151DFF" w:rsidRPr="006F6894" w:rsidRDefault="00151DFF" w:rsidP="006F6894">
            <w:pPr>
              <w:pStyle w:val="GrandCanyonNumberedList"/>
              <w:numPr>
                <w:ilvl w:val="0"/>
                <w:numId w:val="0"/>
              </w:numPr>
              <w:spacing w:line="480" w:lineRule="auto"/>
            </w:pPr>
            <w:r w:rsidRPr="006F6894">
              <w:t>2.</w:t>
            </w:r>
            <w:r w:rsidR="00241B53" w:rsidRPr="006F6894">
              <w:t xml:space="preserve"> Presenting images of fractures </w:t>
            </w:r>
            <w:r w:rsidR="00CC2FDC" w:rsidRPr="006F6894">
              <w:t xml:space="preserve">in </w:t>
            </w:r>
            <w:r w:rsidR="00A81D53" w:rsidRPr="006F6894">
              <w:t>PowerP</w:t>
            </w:r>
            <w:r w:rsidR="00CC2FDC" w:rsidRPr="006F6894">
              <w:t>oint</w:t>
            </w:r>
            <w:r w:rsidR="00794388" w:rsidRPr="006F6894">
              <w:t xml:space="preserve">. </w:t>
            </w:r>
            <w:r w:rsidR="00A81D53" w:rsidRPr="006F6894">
              <w:t>The l</w:t>
            </w:r>
            <w:r w:rsidR="00794388" w:rsidRPr="006F6894">
              <w:t>ecture method will be u</w:t>
            </w:r>
            <w:r w:rsidR="00A81D53" w:rsidRPr="006F6894">
              <w:t>sed to teach the</w:t>
            </w:r>
            <w:r w:rsidR="00606584" w:rsidRPr="006F6894">
              <w:t xml:space="preserve"> relationship between fractures and osteoporosis.</w:t>
            </w:r>
          </w:p>
        </w:tc>
      </w:tr>
      <w:tr w:rsidR="00151DFF" w:rsidRPr="006F6894" w14:paraId="119D20EA" w14:textId="77777777" w:rsidTr="00FF1E1B">
        <w:tc>
          <w:tcPr>
            <w:tcW w:w="2952" w:type="dxa"/>
          </w:tcPr>
          <w:p w14:paraId="3DCF6541" w14:textId="54B2DFFC" w:rsidR="00151DFF" w:rsidRPr="006F6894" w:rsidRDefault="00151DFF" w:rsidP="006F6894">
            <w:pPr>
              <w:pStyle w:val="GrandCanyonNumberedList"/>
              <w:numPr>
                <w:ilvl w:val="0"/>
                <w:numId w:val="0"/>
              </w:numPr>
              <w:spacing w:line="480" w:lineRule="auto"/>
            </w:pPr>
            <w:r w:rsidRPr="006F6894">
              <w:t>3.</w:t>
            </w:r>
            <w:r w:rsidR="00FD2CF7" w:rsidRPr="006F6894">
              <w:t xml:space="preserve"> </w:t>
            </w:r>
            <w:r w:rsidR="00FD2CF7" w:rsidRPr="006F6894">
              <w:t>Three</w:t>
            </w:r>
            <w:r w:rsidR="00A81D53" w:rsidRPr="006F6894">
              <w:t>-</w:t>
            </w:r>
            <w:r w:rsidR="00FD2CF7" w:rsidRPr="006F6894">
              <w:t xml:space="preserve">quarters of the elderly learners attending the teaching program will </w:t>
            </w:r>
            <w:r w:rsidR="00FD2CF7" w:rsidRPr="006F6894">
              <w:lastRenderedPageBreak/>
              <w:t xml:space="preserve">be able to </w:t>
            </w:r>
            <w:r w:rsidR="00606584" w:rsidRPr="006F6894">
              <w:t>identify some strategies for preventing the progression of osteopen</w:t>
            </w:r>
            <w:r w:rsidR="00A81D53" w:rsidRPr="006F6894">
              <w:t>i</w:t>
            </w:r>
            <w:r w:rsidR="00606584" w:rsidRPr="006F6894">
              <w:t xml:space="preserve">a to </w:t>
            </w:r>
            <w:r w:rsidR="00FD2CF7" w:rsidRPr="006F6894">
              <w:t>osteoporosis. (Cognitive Domain)</w:t>
            </w:r>
          </w:p>
          <w:p w14:paraId="586C4E72" w14:textId="77777777" w:rsidR="00151DFF" w:rsidRPr="006F6894" w:rsidRDefault="00151DFF" w:rsidP="006F6894">
            <w:pPr>
              <w:pStyle w:val="GrandCanyonNumberedList"/>
              <w:numPr>
                <w:ilvl w:val="0"/>
                <w:numId w:val="0"/>
              </w:numPr>
              <w:spacing w:line="480" w:lineRule="auto"/>
            </w:pPr>
          </w:p>
          <w:p w14:paraId="4E0A5177" w14:textId="77777777" w:rsidR="00151DFF" w:rsidRPr="006F6894" w:rsidRDefault="00151DFF" w:rsidP="006F6894">
            <w:pPr>
              <w:pStyle w:val="GrandCanyonNumberedList"/>
              <w:numPr>
                <w:ilvl w:val="0"/>
                <w:numId w:val="0"/>
              </w:numPr>
              <w:spacing w:line="480" w:lineRule="auto"/>
            </w:pPr>
          </w:p>
          <w:p w14:paraId="7CE42B34" w14:textId="77777777" w:rsidR="00151DFF" w:rsidRPr="006F6894" w:rsidRDefault="00151DFF" w:rsidP="006F6894">
            <w:pPr>
              <w:pStyle w:val="GrandCanyonNumberedList"/>
              <w:numPr>
                <w:ilvl w:val="0"/>
                <w:numId w:val="0"/>
              </w:numPr>
              <w:spacing w:line="480" w:lineRule="auto"/>
            </w:pPr>
          </w:p>
        </w:tc>
        <w:tc>
          <w:tcPr>
            <w:tcW w:w="2952" w:type="dxa"/>
          </w:tcPr>
          <w:p w14:paraId="3A616819" w14:textId="6D47B4B0" w:rsidR="0026526C" w:rsidRPr="006F6894" w:rsidRDefault="00151DFF" w:rsidP="006F6894">
            <w:pPr>
              <w:spacing w:line="480" w:lineRule="auto"/>
            </w:pPr>
            <w:r w:rsidRPr="006F6894">
              <w:lastRenderedPageBreak/>
              <w:t>3.</w:t>
            </w:r>
            <w:r w:rsidR="00606584" w:rsidRPr="006F6894">
              <w:t xml:space="preserve"> The most efficient method of preventing </w:t>
            </w:r>
            <w:r w:rsidR="000042BC" w:rsidRPr="006F6894">
              <w:lastRenderedPageBreak/>
              <w:t xml:space="preserve">osteoporosis </w:t>
            </w:r>
            <w:r w:rsidR="00A24D38" w:rsidRPr="006F6894">
              <w:t xml:space="preserve">is screening using the FRAX tool. </w:t>
            </w:r>
          </w:p>
          <w:p w14:paraId="585A5616" w14:textId="59E1AA0C" w:rsidR="00151DFF" w:rsidRPr="006F6894" w:rsidRDefault="00163CF0" w:rsidP="006F6894">
            <w:pPr>
              <w:spacing w:line="480" w:lineRule="auto"/>
            </w:pPr>
            <w:r w:rsidRPr="006F6894">
              <w:t xml:space="preserve">Other essential measures </w:t>
            </w:r>
            <w:r w:rsidR="00A81D53" w:rsidRPr="006F6894">
              <w:t>for</w:t>
            </w:r>
            <w:r w:rsidRPr="006F6894">
              <w:t xml:space="preserve"> preventing </w:t>
            </w:r>
            <w:r w:rsidR="0026526C" w:rsidRPr="006F6894">
              <w:t xml:space="preserve">and managing the condition include proper diet, exercise, and a healthy lifestyle. </w:t>
            </w:r>
          </w:p>
        </w:tc>
        <w:tc>
          <w:tcPr>
            <w:tcW w:w="2952" w:type="dxa"/>
          </w:tcPr>
          <w:p w14:paraId="1CA56EEC" w14:textId="3C6E0AF7" w:rsidR="00151DFF" w:rsidRPr="006F6894" w:rsidRDefault="00151DFF" w:rsidP="006F6894">
            <w:pPr>
              <w:spacing w:line="480" w:lineRule="auto"/>
            </w:pPr>
            <w:r w:rsidRPr="006F6894">
              <w:lastRenderedPageBreak/>
              <w:t>3.</w:t>
            </w:r>
            <w:r w:rsidR="00857C78" w:rsidRPr="006F6894">
              <w:t xml:space="preserve"> </w:t>
            </w:r>
            <w:r w:rsidR="00A81D53" w:rsidRPr="006F6894">
              <w:t>Integrating</w:t>
            </w:r>
            <w:r w:rsidR="0040750B" w:rsidRPr="006F6894">
              <w:t xml:space="preserve"> </w:t>
            </w:r>
            <w:r w:rsidR="00A81D53" w:rsidRPr="006F6894">
              <w:t xml:space="preserve">the </w:t>
            </w:r>
            <w:r w:rsidR="0040750B" w:rsidRPr="006F6894">
              <w:t>l</w:t>
            </w:r>
            <w:r w:rsidR="00857C78" w:rsidRPr="006F6894">
              <w:t xml:space="preserve">ecture </w:t>
            </w:r>
            <w:r w:rsidR="0040750B" w:rsidRPr="006F6894">
              <w:t xml:space="preserve">method and </w:t>
            </w:r>
            <w:r w:rsidR="00A81D53" w:rsidRPr="006F6894">
              <w:t>PowerP</w:t>
            </w:r>
            <w:r w:rsidR="0040750B" w:rsidRPr="006F6894">
              <w:t xml:space="preserve">oint presentation will be utilized </w:t>
            </w:r>
            <w:r w:rsidR="0040750B" w:rsidRPr="006F6894">
              <w:lastRenderedPageBreak/>
              <w:t xml:space="preserve">in </w:t>
            </w:r>
            <w:r w:rsidR="006B17FE" w:rsidRPr="006F6894">
              <w:t xml:space="preserve">teaching </w:t>
            </w:r>
            <w:r w:rsidR="00733E4E" w:rsidRPr="006F6894">
              <w:t xml:space="preserve">the audience population. </w:t>
            </w:r>
          </w:p>
        </w:tc>
      </w:tr>
      <w:tr w:rsidR="00151DFF" w:rsidRPr="006F6894" w14:paraId="140C1F77" w14:textId="77777777" w:rsidTr="00FF1E1B">
        <w:tc>
          <w:tcPr>
            <w:tcW w:w="2952" w:type="dxa"/>
          </w:tcPr>
          <w:p w14:paraId="540467EE" w14:textId="06A54EEF" w:rsidR="00151DFF" w:rsidRPr="006F6894" w:rsidRDefault="00151DFF" w:rsidP="006F6894">
            <w:pPr>
              <w:pStyle w:val="GrandCanyonNumberedList"/>
              <w:numPr>
                <w:ilvl w:val="0"/>
                <w:numId w:val="0"/>
              </w:numPr>
              <w:spacing w:line="480" w:lineRule="auto"/>
            </w:pPr>
            <w:r w:rsidRPr="006F6894">
              <w:lastRenderedPageBreak/>
              <w:t>4.</w:t>
            </w:r>
            <w:r w:rsidR="00537A7A" w:rsidRPr="006F6894">
              <w:t xml:space="preserve"> </w:t>
            </w:r>
            <w:r w:rsidR="00537A7A" w:rsidRPr="006F6894">
              <w:t>Three</w:t>
            </w:r>
            <w:r w:rsidR="00A81D53" w:rsidRPr="006F6894">
              <w:t>-</w:t>
            </w:r>
            <w:r w:rsidR="00537A7A" w:rsidRPr="006F6894">
              <w:t xml:space="preserve">quarters of the elderly learners attending the teaching program will be able to identify some of the strategies for </w:t>
            </w:r>
            <w:r w:rsidR="00537A7A" w:rsidRPr="006F6894">
              <w:t xml:space="preserve">improving bone health and </w:t>
            </w:r>
            <w:r w:rsidR="00537A7A" w:rsidRPr="006F6894">
              <w:t>preventing osteoporosis</w:t>
            </w:r>
            <w:r w:rsidR="00537A7A" w:rsidRPr="006F6894">
              <w:t xml:space="preserve"> and broken bones</w:t>
            </w:r>
            <w:r w:rsidR="00537A7A" w:rsidRPr="006F6894">
              <w:t>. (Cognitive Domain)</w:t>
            </w:r>
          </w:p>
          <w:p w14:paraId="4813F4C5" w14:textId="77777777" w:rsidR="00151DFF" w:rsidRPr="006F6894" w:rsidRDefault="00151DFF" w:rsidP="006F6894">
            <w:pPr>
              <w:pStyle w:val="GrandCanyonNumberedList"/>
              <w:numPr>
                <w:ilvl w:val="0"/>
                <w:numId w:val="0"/>
              </w:numPr>
              <w:spacing w:line="480" w:lineRule="auto"/>
            </w:pPr>
          </w:p>
          <w:p w14:paraId="40A20534" w14:textId="77777777" w:rsidR="00151DFF" w:rsidRPr="006F6894" w:rsidRDefault="00151DFF" w:rsidP="006F6894">
            <w:pPr>
              <w:pStyle w:val="GrandCanyonNumberedList"/>
              <w:numPr>
                <w:ilvl w:val="0"/>
                <w:numId w:val="0"/>
              </w:numPr>
              <w:spacing w:line="480" w:lineRule="auto"/>
            </w:pPr>
          </w:p>
          <w:p w14:paraId="22AE7B5A" w14:textId="77777777" w:rsidR="00151DFF" w:rsidRPr="006F6894" w:rsidRDefault="00151DFF" w:rsidP="006F6894">
            <w:pPr>
              <w:pStyle w:val="GrandCanyonNumberedList"/>
              <w:numPr>
                <w:ilvl w:val="0"/>
                <w:numId w:val="0"/>
              </w:numPr>
              <w:spacing w:line="480" w:lineRule="auto"/>
            </w:pPr>
          </w:p>
        </w:tc>
        <w:tc>
          <w:tcPr>
            <w:tcW w:w="2952" w:type="dxa"/>
          </w:tcPr>
          <w:p w14:paraId="1ABEEEE9" w14:textId="2F73506A" w:rsidR="00151DFF" w:rsidRPr="006F6894" w:rsidRDefault="00151DFF" w:rsidP="006F6894">
            <w:pPr>
              <w:spacing w:line="480" w:lineRule="auto"/>
            </w:pPr>
            <w:r w:rsidRPr="006F6894">
              <w:t>4.</w:t>
            </w:r>
            <w:r w:rsidR="00537A7A" w:rsidRPr="006F6894">
              <w:t xml:space="preserve"> Some of </w:t>
            </w:r>
            <w:r w:rsidR="00A81D53" w:rsidRPr="006F6894">
              <w:t xml:space="preserve">the </w:t>
            </w:r>
            <w:r w:rsidR="00537A7A" w:rsidRPr="006F6894">
              <w:t xml:space="preserve">steps </w:t>
            </w:r>
            <w:r w:rsidR="00A81D53" w:rsidRPr="006F6894">
              <w:t>for</w:t>
            </w:r>
            <w:r w:rsidR="00537A7A" w:rsidRPr="006F6894">
              <w:t xml:space="preserve"> </w:t>
            </w:r>
            <w:r w:rsidR="00537A7A" w:rsidRPr="006F6894">
              <w:t>improving bone health and preventing osteoporosis and broken bones</w:t>
            </w:r>
            <w:r w:rsidR="00537A7A" w:rsidRPr="006F6894">
              <w:t xml:space="preserve"> include; getting the calcium and vitamin D one needs every day, doing regular weight-bearing and muscle-strengthening exercises, not smoking and drinking too much alcohol, getting regular bone density test</w:t>
            </w:r>
            <w:r w:rsidR="00A81D53" w:rsidRPr="006F6894">
              <w:t>s</w:t>
            </w:r>
            <w:r w:rsidR="00537A7A" w:rsidRPr="006F6894">
              <w:t xml:space="preserve">, and taking an osteoporosis medication when it’s appropriate. </w:t>
            </w:r>
          </w:p>
        </w:tc>
        <w:tc>
          <w:tcPr>
            <w:tcW w:w="2952" w:type="dxa"/>
          </w:tcPr>
          <w:p w14:paraId="29E01180" w14:textId="4A1AFA61" w:rsidR="00151DFF" w:rsidRPr="006F6894" w:rsidRDefault="00151DFF" w:rsidP="006F6894">
            <w:pPr>
              <w:spacing w:line="480" w:lineRule="auto"/>
            </w:pPr>
            <w:r w:rsidRPr="006F6894">
              <w:t>4.</w:t>
            </w:r>
            <w:r w:rsidR="00F623D0" w:rsidRPr="006F6894">
              <w:t xml:space="preserve"> </w:t>
            </w:r>
            <w:r w:rsidR="00F623D0" w:rsidRPr="006F6894">
              <w:t xml:space="preserve">PowerPoint presentation will be used as a visual aid for </w:t>
            </w:r>
            <w:r w:rsidR="00A81D53" w:rsidRPr="006F6894">
              <w:t>a lecture on</w:t>
            </w:r>
            <w:r w:rsidR="00F623D0" w:rsidRPr="006F6894">
              <w:t xml:space="preserve"> improving bone health and preventing osteoporosis and broken bones</w:t>
            </w:r>
            <w:r w:rsidR="00F623D0" w:rsidRPr="006F6894">
              <w:t xml:space="preserve">. </w:t>
            </w:r>
          </w:p>
        </w:tc>
      </w:tr>
    </w:tbl>
    <w:p w14:paraId="301FC20B" w14:textId="77777777" w:rsidR="00151DFF" w:rsidRPr="006F6894" w:rsidRDefault="00151DFF" w:rsidP="006F6894">
      <w:pPr>
        <w:spacing w:line="480" w:lineRule="auto"/>
      </w:pPr>
    </w:p>
    <w:p w14:paraId="4D63E11C" w14:textId="77777777" w:rsidR="00151DFF" w:rsidRPr="006F6894" w:rsidRDefault="00151DFF" w:rsidP="006F6894">
      <w:pPr>
        <w:spacing w:line="480" w:lineRule="auto"/>
        <w:rPr>
          <w:b/>
        </w:rPr>
      </w:pPr>
    </w:p>
    <w:p w14:paraId="0BBFC318" w14:textId="3EBB3551" w:rsidR="00151DFF" w:rsidRPr="006F6894" w:rsidRDefault="00151DFF" w:rsidP="006F6894">
      <w:pPr>
        <w:spacing w:line="480" w:lineRule="auto"/>
      </w:pPr>
      <w:r w:rsidRPr="006F6894">
        <w:rPr>
          <w:b/>
        </w:rPr>
        <w:t>Creativity</w:t>
      </w:r>
      <w:r w:rsidRPr="006F6894">
        <w:t>: How was creativity applied in the teaching methods/st</w:t>
      </w:r>
      <w:r w:rsidR="00125D40" w:rsidRPr="006F6894">
        <w:t>r</w:t>
      </w:r>
      <w:r w:rsidRPr="006F6894">
        <w:t xml:space="preserve">ategies?  </w:t>
      </w:r>
    </w:p>
    <w:p w14:paraId="21BF0E77" w14:textId="073E3FD6" w:rsidR="00796AAE" w:rsidRPr="006F6894" w:rsidRDefault="00C70E10" w:rsidP="006F6894">
      <w:pPr>
        <w:spacing w:line="480" w:lineRule="auto"/>
        <w:rPr>
          <w:b/>
        </w:rPr>
      </w:pPr>
      <w:r w:rsidRPr="006F6894">
        <w:tab/>
        <w:t>Creativity will be demonstrated during the teaching methods and strategies by designing an eye-catching presentation format</w:t>
      </w:r>
      <w:r w:rsidR="00A81D53" w:rsidRPr="006F6894">
        <w:t>. T</w:t>
      </w:r>
      <w:r w:rsidRPr="006F6894">
        <w:t xml:space="preserve">he bullet points will be used for </w:t>
      </w:r>
      <w:r w:rsidR="00A81D53" w:rsidRPr="006F6894">
        <w:t xml:space="preserve">the </w:t>
      </w:r>
      <w:r w:rsidRPr="006F6894">
        <w:t>main ideas</w:t>
      </w:r>
      <w:r w:rsidR="00A81D53" w:rsidRPr="006F6894">
        <w:t>,</w:t>
      </w:r>
      <w:r w:rsidRPr="006F6894">
        <w:t xml:space="preserve"> and the speaker notes </w:t>
      </w:r>
      <w:r w:rsidR="00A81D53" w:rsidRPr="006F6894">
        <w:t>to explain</w:t>
      </w:r>
      <w:r w:rsidRPr="006F6894">
        <w:t xml:space="preserve"> the presented content. </w:t>
      </w:r>
      <w:r w:rsidR="00590C97" w:rsidRPr="006F6894">
        <w:t xml:space="preserve">By efficiently designing and formatting the speaker notes </w:t>
      </w:r>
      <w:r w:rsidR="00A81D53" w:rsidRPr="006F6894">
        <w:t>by incorporating</w:t>
      </w:r>
      <w:r w:rsidR="00590C97" w:rsidRPr="006F6894">
        <w:t xml:space="preserve"> supporting visuals</w:t>
      </w:r>
      <w:r w:rsidR="000811DB" w:rsidRPr="006F6894">
        <w:t xml:space="preserve">, </w:t>
      </w:r>
      <w:r w:rsidR="00D83CC1" w:rsidRPr="006F6894">
        <w:t>the learners will be captivated and engaged in the whole learning process</w:t>
      </w:r>
      <w:r w:rsidR="00A81D53" w:rsidRPr="006F6894">
        <w:t>,</w:t>
      </w:r>
      <w:r w:rsidR="00D83CC1" w:rsidRPr="006F6894">
        <w:t xml:space="preserve"> thereby promoting their comprehension of the presented content. </w:t>
      </w:r>
      <w:r w:rsidR="00F111C1" w:rsidRPr="006F6894">
        <w:t>A</w:t>
      </w:r>
      <w:r w:rsidR="00A81D53" w:rsidRPr="006F6894">
        <w:t>t the end of the lesson, each</w:t>
      </w:r>
      <w:r w:rsidR="00F111C1" w:rsidRPr="006F6894">
        <w:t xml:space="preserve"> attendee will be provided with a handout containing a summary of the learned concepts and content for use and sharing with others during their free time. </w:t>
      </w:r>
    </w:p>
    <w:p w14:paraId="7C07CD55" w14:textId="41B0411F" w:rsidR="00151DFF" w:rsidRPr="006F6894" w:rsidRDefault="00151DFF" w:rsidP="006F6894">
      <w:pPr>
        <w:spacing w:line="480" w:lineRule="auto"/>
      </w:pPr>
      <w:r w:rsidRPr="006F6894">
        <w:rPr>
          <w:b/>
        </w:rPr>
        <w:t>Planned Evaluation of Objectives</w:t>
      </w:r>
      <w:r w:rsidRPr="006F6894">
        <w:t xml:space="preserve"> (Outcome Evaluation): Describe what you will measure for each objective and how.</w:t>
      </w:r>
    </w:p>
    <w:p w14:paraId="0E50887A" w14:textId="4543C567" w:rsidR="00151DFF" w:rsidRPr="006F6894" w:rsidRDefault="00F111C1" w:rsidP="006F6894">
      <w:pPr>
        <w:pStyle w:val="GrandCanyonNumberedList"/>
        <w:numPr>
          <w:ilvl w:val="0"/>
          <w:numId w:val="10"/>
        </w:numPr>
        <w:spacing w:line="480" w:lineRule="auto"/>
      </w:pPr>
      <w:r w:rsidRPr="006F6894">
        <w:t xml:space="preserve">One indicator of whether or not the first objective has been reached is whether or not the student can identify osteoporosis as the progressive decrease of bone density that first results in osteopenia and </w:t>
      </w:r>
      <w:r w:rsidR="006F6894" w:rsidRPr="006F6894">
        <w:t>osteoporosis if nothing is done</w:t>
      </w:r>
      <w:r w:rsidRPr="006F6894">
        <w:t xml:space="preserve">. Metrics for this purpose include the student's ability to name </w:t>
      </w:r>
      <w:r w:rsidR="006F6894" w:rsidRPr="006F6894">
        <w:t>osteoporosis-related age contributor</w:t>
      </w:r>
      <w:r w:rsidRPr="006F6894">
        <w:t>s. At the end of the course, the students will be asked to complete an evaluation consisting of definition and risk factor questions.</w:t>
      </w:r>
    </w:p>
    <w:p w14:paraId="6FA6B983" w14:textId="7A2E673C" w:rsidR="00151DFF" w:rsidRPr="006F6894" w:rsidRDefault="00D65225" w:rsidP="006F6894">
      <w:pPr>
        <w:pStyle w:val="GrandCanyonNumberedList"/>
        <w:numPr>
          <w:ilvl w:val="0"/>
          <w:numId w:val="10"/>
        </w:numPr>
        <w:spacing w:line="480" w:lineRule="auto"/>
      </w:pPr>
      <w:r w:rsidRPr="006F6894">
        <w:t xml:space="preserve">Objective 2 will be measured by whether or not the learner can explain why osteoporosis causes fragility fractures: </w:t>
      </w:r>
      <w:r w:rsidRPr="006F6894">
        <w:t xml:space="preserve">the relationship between </w:t>
      </w:r>
      <w:r w:rsidRPr="006F6894">
        <w:t xml:space="preserve">weaker bones </w:t>
      </w:r>
      <w:r w:rsidRPr="006F6894">
        <w:t>and</w:t>
      </w:r>
      <w:r w:rsidRPr="006F6894">
        <w:t xml:space="preserve"> decreased bone density. </w:t>
      </w:r>
      <w:r w:rsidR="0039396D" w:rsidRPr="006F6894">
        <w:t xml:space="preserve">The </w:t>
      </w:r>
      <w:r w:rsidR="006F6894" w:rsidRPr="006F6894">
        <w:t>lesson's success</w:t>
      </w:r>
      <w:r w:rsidR="0039396D" w:rsidRPr="006F6894">
        <w:t xml:space="preserve"> will be determined </w:t>
      </w:r>
      <w:r w:rsidR="006F6894" w:rsidRPr="006F6894">
        <w:t>based on</w:t>
      </w:r>
      <w:r w:rsidR="0039396D" w:rsidRPr="006F6894">
        <w:t xml:space="preserve"> </w:t>
      </w:r>
      <w:r w:rsidRPr="006F6894">
        <w:t xml:space="preserve">how many of them raise their hands in response to closed-ended questions on whether or not they believe osteoporosis </w:t>
      </w:r>
      <w:r w:rsidR="0039396D" w:rsidRPr="006F6894">
        <w:t xml:space="preserve">is one of the </w:t>
      </w:r>
      <w:r w:rsidRPr="006F6894">
        <w:t>primary cause</w:t>
      </w:r>
      <w:r w:rsidR="0039396D" w:rsidRPr="006F6894">
        <w:t>s</w:t>
      </w:r>
      <w:r w:rsidRPr="006F6894">
        <w:t xml:space="preserve"> of fragility fractures.</w:t>
      </w:r>
    </w:p>
    <w:p w14:paraId="60F7C34E" w14:textId="3C667722" w:rsidR="00151DFF" w:rsidRPr="006F6894" w:rsidRDefault="009336F0" w:rsidP="006F6894">
      <w:pPr>
        <w:pStyle w:val="GrandCanyonNumberedList"/>
        <w:numPr>
          <w:ilvl w:val="0"/>
          <w:numId w:val="10"/>
        </w:numPr>
        <w:spacing w:line="480" w:lineRule="auto"/>
      </w:pPr>
      <w:r w:rsidRPr="006F6894">
        <w:lastRenderedPageBreak/>
        <w:t xml:space="preserve">Objective </w:t>
      </w:r>
      <w:r w:rsidRPr="006F6894">
        <w:t>3</w:t>
      </w:r>
      <w:r w:rsidRPr="006F6894">
        <w:t xml:space="preserve"> will be measured by whether or not the learner can explain</w:t>
      </w:r>
      <w:r w:rsidRPr="006F6894">
        <w:t xml:space="preserve"> </w:t>
      </w:r>
      <w:r w:rsidRPr="006F6894">
        <w:t>some of the strategies for preventing the progression of osteopen</w:t>
      </w:r>
      <w:r w:rsidR="006F6894" w:rsidRPr="006F6894">
        <w:t>i</w:t>
      </w:r>
      <w:r w:rsidRPr="006F6894">
        <w:t>a to osteoporosis</w:t>
      </w:r>
      <w:r w:rsidRPr="006F6894">
        <w:t>. The success and rate of achievement of the lesson objective will be determined by establishing the number of learners that will successfu</w:t>
      </w:r>
      <w:r w:rsidR="004D72F1" w:rsidRPr="006F6894">
        <w:t>l</w:t>
      </w:r>
      <w:r w:rsidRPr="006F6894">
        <w:t>l</w:t>
      </w:r>
      <w:r w:rsidR="004D72F1" w:rsidRPr="006F6894">
        <w:t>y</w:t>
      </w:r>
      <w:r w:rsidRPr="006F6894">
        <w:t xml:space="preserve"> identify at least a strategy </w:t>
      </w:r>
      <w:r w:rsidR="006F6894" w:rsidRPr="006F6894">
        <w:t>for</w:t>
      </w:r>
      <w:r w:rsidRPr="006F6894">
        <w:t xml:space="preserve"> </w:t>
      </w:r>
      <w:r w:rsidR="00593D5C" w:rsidRPr="006F6894">
        <w:t xml:space="preserve">curbing the progression of </w:t>
      </w:r>
      <w:r w:rsidR="00F81EF9" w:rsidRPr="006F6894">
        <w:t xml:space="preserve">osteoporosis. </w:t>
      </w:r>
    </w:p>
    <w:p w14:paraId="4237B43F" w14:textId="0C9262E3" w:rsidR="00796AAE" w:rsidRPr="006F6894" w:rsidRDefault="00F81EF9" w:rsidP="00E3540A">
      <w:pPr>
        <w:pStyle w:val="ListParagraph"/>
        <w:spacing w:line="480" w:lineRule="auto"/>
        <w:ind w:left="0"/>
        <w:rPr>
          <w:b/>
        </w:rPr>
      </w:pPr>
      <w:r w:rsidRPr="006F6894">
        <w:t xml:space="preserve">Objective </w:t>
      </w:r>
      <w:r w:rsidRPr="006F6894">
        <w:t>4</w:t>
      </w:r>
      <w:r w:rsidRPr="006F6894">
        <w:t xml:space="preserve"> will be measured by whether or not the learner can explain some </w:t>
      </w:r>
      <w:r w:rsidR="004D72F1" w:rsidRPr="006F6894">
        <w:t>strategies for improving bone health and preventing osteoporosis and broken bones</w:t>
      </w:r>
      <w:r w:rsidRPr="006F6894">
        <w:t xml:space="preserve">. The success and rate of achievement of the lesson objective will be determined by establishing the number of learners that will </w:t>
      </w:r>
      <w:r w:rsidR="004D72F1" w:rsidRPr="006F6894">
        <w:t>successfully</w:t>
      </w:r>
      <w:r w:rsidRPr="006F6894">
        <w:t xml:space="preserve"> identify at least a strategy </w:t>
      </w:r>
      <w:r w:rsidR="006F6894" w:rsidRPr="006F6894">
        <w:t>for</w:t>
      </w:r>
      <w:r w:rsidR="004D72F1" w:rsidRPr="006F6894">
        <w:t xml:space="preserve"> </w:t>
      </w:r>
      <w:r w:rsidR="004D72F1" w:rsidRPr="006F6894">
        <w:t>improving bone health and preventing osteoporosis and broken bones</w:t>
      </w:r>
    </w:p>
    <w:p w14:paraId="79B32C5A" w14:textId="7063EDA7" w:rsidR="00151DFF" w:rsidRPr="006F6894" w:rsidRDefault="00151DFF" w:rsidP="006F6894">
      <w:pPr>
        <w:pStyle w:val="GrandCanyonNumberedList"/>
        <w:numPr>
          <w:ilvl w:val="0"/>
          <w:numId w:val="0"/>
        </w:numPr>
        <w:spacing w:line="480" w:lineRule="auto"/>
      </w:pPr>
      <w:r w:rsidRPr="006F6894">
        <w:rPr>
          <w:b/>
        </w:rPr>
        <w:t>Planned Evaluation of Goal</w:t>
      </w:r>
      <w:r w:rsidRPr="006F6894">
        <w:t xml:space="preserve">:  </w:t>
      </w:r>
    </w:p>
    <w:p w14:paraId="213FA1C4" w14:textId="66E85F93" w:rsidR="00151DFF" w:rsidRPr="006F6894" w:rsidRDefault="002C4A50" w:rsidP="006F6894">
      <w:pPr>
        <w:pStyle w:val="GrandCanyonNumberedList"/>
        <w:numPr>
          <w:ilvl w:val="0"/>
          <w:numId w:val="0"/>
        </w:numPr>
        <w:spacing w:line="480" w:lineRule="auto"/>
        <w:ind w:firstLine="720"/>
        <w:rPr>
          <w:b/>
        </w:rPr>
      </w:pPr>
      <w:r w:rsidRPr="006F6894">
        <w:t>I will evaluate the general</w:t>
      </w:r>
      <w:r w:rsidRPr="006F6894">
        <w:t xml:space="preserve"> effectiveness of the teaching plan at the beginning, end of the lesson presentation and a month after the completion of the teaching exercise. Specifically, the assessment done at the beginning of the lesson plan will be used </w:t>
      </w:r>
      <w:r w:rsidR="006F6894" w:rsidRPr="006F6894">
        <w:t>to provide baseline data regarding the participant's knowledge</w:t>
      </w:r>
      <w:r w:rsidR="0053542F" w:rsidRPr="006F6894">
        <w:t xml:space="preserve"> regarding the need for routine bone density and osteoporosis assessment, besides establishing their willingness to be assessed. The </w:t>
      </w:r>
      <w:r w:rsidR="0053542F" w:rsidRPr="006F6894">
        <w:t xml:space="preserve">assessment done at the </w:t>
      </w:r>
      <w:r w:rsidR="0053542F" w:rsidRPr="006F6894">
        <w:t>end</w:t>
      </w:r>
      <w:r w:rsidR="0053542F" w:rsidRPr="006F6894">
        <w:t xml:space="preserve"> of the lesson plan will </w:t>
      </w:r>
      <w:r w:rsidR="006F6894" w:rsidRPr="006F6894">
        <w:t>establish</w:t>
      </w:r>
      <w:r w:rsidR="00706F1E" w:rsidRPr="006F6894">
        <w:t xml:space="preserve"> whether learning has occurred </w:t>
      </w:r>
      <w:r w:rsidR="006F6894" w:rsidRPr="006F6894">
        <w:t xml:space="preserve">and </w:t>
      </w:r>
      <w:r w:rsidR="00706F1E" w:rsidRPr="006F6894">
        <w:t>if the participants appreciate and are willing to be involved in bone density assessment. The asse</w:t>
      </w:r>
      <w:r w:rsidR="006F6894" w:rsidRPr="006F6894">
        <w:t>s</w:t>
      </w:r>
      <w:r w:rsidR="00706F1E" w:rsidRPr="006F6894">
        <w:t>sment</w:t>
      </w:r>
      <w:r w:rsidR="006F6894" w:rsidRPr="006F6894">
        <w:t>,</w:t>
      </w:r>
      <w:r w:rsidR="00706F1E" w:rsidRPr="006F6894">
        <w:t xml:space="preserve"> done a month after the completion of the teaching exercise, will be used in assessing the number and rates of elderly patients that have been assessed for bone density since the provis</w:t>
      </w:r>
      <w:r w:rsidR="006F6894" w:rsidRPr="006F6894">
        <w:t>i</w:t>
      </w:r>
      <w:r w:rsidR="00706F1E" w:rsidRPr="006F6894">
        <w:t xml:space="preserve">on of the teaching exercise. </w:t>
      </w:r>
    </w:p>
    <w:p w14:paraId="212D8F29" w14:textId="77777777" w:rsidR="00151DFF" w:rsidRPr="006F6894" w:rsidRDefault="00151DFF" w:rsidP="006F6894">
      <w:pPr>
        <w:pStyle w:val="GrandCanyonNumberedList"/>
        <w:numPr>
          <w:ilvl w:val="0"/>
          <w:numId w:val="0"/>
        </w:numPr>
        <w:spacing w:line="480" w:lineRule="auto"/>
      </w:pPr>
      <w:r w:rsidRPr="006F6894">
        <w:rPr>
          <w:b/>
        </w:rPr>
        <w:t>Planned Evaluation of Lesson and Teacher</w:t>
      </w:r>
      <w:r w:rsidRPr="006F6894">
        <w:t xml:space="preserve"> (Process Evaluation):</w:t>
      </w:r>
    </w:p>
    <w:p w14:paraId="5015C516" w14:textId="0EF316B3" w:rsidR="00151DFF" w:rsidRPr="006F6894" w:rsidRDefault="00F6619C" w:rsidP="006F6894">
      <w:pPr>
        <w:pStyle w:val="GrandCanyonNumberedList"/>
        <w:numPr>
          <w:ilvl w:val="0"/>
          <w:numId w:val="0"/>
        </w:numPr>
        <w:spacing w:line="480" w:lineRule="auto"/>
        <w:ind w:firstLine="720"/>
      </w:pPr>
      <w:r w:rsidRPr="006F6894">
        <w:lastRenderedPageBreak/>
        <w:t xml:space="preserve">Falkner (2018) asserts that evaluating </w:t>
      </w:r>
      <w:r w:rsidRPr="006F6894">
        <w:t>the community nurse, the learning process, and the teaching styles is crucial for assisting the nurse in making necessary adjustments to the teaching method and style</w:t>
      </w:r>
      <w:r w:rsidRPr="006F6894">
        <w:t xml:space="preserve"> to facilitate learning and achievement of the teaching objectives.</w:t>
      </w:r>
      <w:r w:rsidR="00051498" w:rsidRPr="006F6894">
        <w:t xml:space="preserve"> </w:t>
      </w:r>
      <w:r w:rsidR="00051498" w:rsidRPr="006F6894">
        <w:t xml:space="preserve">Learners will be asked to rate the presenter's professionalism based on </w:t>
      </w:r>
      <w:r w:rsidR="006F6894" w:rsidRPr="006F6894">
        <w:t>several</w:t>
      </w:r>
      <w:r w:rsidR="00051498" w:rsidRPr="006F6894">
        <w:t xml:space="preserve"> criteria, including the extent to which they strongly disagree, disagree, are neutral, agree, or highly agree with the measure in question. Mastery of material, students' perceptions of teacher preparation, presentation structure, personal presentation, and time management a</w:t>
      </w:r>
      <w:r w:rsidR="006F6894" w:rsidRPr="006F6894">
        <w:t>ll</w:t>
      </w:r>
      <w:r w:rsidR="00051498" w:rsidRPr="006F6894">
        <w:t xml:space="preserve"> go into a lesson's and a teacher's overall evaluation.</w:t>
      </w:r>
      <w:r w:rsidR="00051498" w:rsidRPr="006F6894">
        <w:t xml:space="preserve"> The learners will have the opportunity </w:t>
      </w:r>
      <w:r w:rsidR="006F6894" w:rsidRPr="006F6894">
        <w:t>to fill out the evaluation forms to facilitate the provision of feedback, the presentation of the teaching material, and the whole teaching process</w:t>
      </w:r>
      <w:r w:rsidR="001C4D56" w:rsidRPr="006F6894">
        <w:t xml:space="preserve">. </w:t>
      </w:r>
    </w:p>
    <w:p w14:paraId="6DB62F7C" w14:textId="767403C5" w:rsidR="00084D42" w:rsidRPr="006F6894" w:rsidRDefault="006F6894" w:rsidP="006F6894">
      <w:pPr>
        <w:pStyle w:val="GrandCanyonNumberedList"/>
        <w:numPr>
          <w:ilvl w:val="0"/>
          <w:numId w:val="0"/>
        </w:numPr>
        <w:spacing w:line="480" w:lineRule="auto"/>
        <w:ind w:firstLine="720"/>
      </w:pPr>
      <w:r w:rsidRPr="006F6894">
        <w:t>A</w:t>
      </w:r>
      <w:r w:rsidR="00084D42" w:rsidRPr="006F6894">
        <w:t xml:space="preserve"> sample of the evaluation form:</w:t>
      </w:r>
    </w:p>
    <w:tbl>
      <w:tblPr>
        <w:tblStyle w:val="TableGrid1"/>
        <w:tblW w:w="0" w:type="auto"/>
        <w:tblLook w:val="04A0" w:firstRow="1" w:lastRow="0" w:firstColumn="1" w:lastColumn="0" w:noHBand="0" w:noVBand="1"/>
      </w:tblPr>
      <w:tblGrid>
        <w:gridCol w:w="3894"/>
        <w:gridCol w:w="1109"/>
        <w:gridCol w:w="1109"/>
        <w:gridCol w:w="1310"/>
        <w:gridCol w:w="829"/>
        <w:gridCol w:w="1099"/>
      </w:tblGrid>
      <w:tr w:rsidR="00084D42" w:rsidRPr="006F6894" w14:paraId="58F5ED3E" w14:textId="77777777" w:rsidTr="00CB223F">
        <w:tc>
          <w:tcPr>
            <w:tcW w:w="9350" w:type="dxa"/>
            <w:gridSpan w:val="6"/>
          </w:tcPr>
          <w:p w14:paraId="014897D8" w14:textId="392153D4" w:rsidR="00084D42" w:rsidRPr="006F6894" w:rsidRDefault="006F6894" w:rsidP="006F6894">
            <w:pPr>
              <w:pStyle w:val="Header"/>
              <w:tabs>
                <w:tab w:val="clear" w:pos="4680"/>
                <w:tab w:val="clear" w:pos="9360"/>
              </w:tabs>
              <w:spacing w:line="480" w:lineRule="auto"/>
            </w:pPr>
            <w:r w:rsidRPr="006F6894">
              <w:t>By ticking the most appropriate answer, kindly provide an honest view on your take on the following</w:t>
            </w:r>
            <w:r w:rsidR="00084D42" w:rsidRPr="006F6894">
              <w:t>.</w:t>
            </w:r>
          </w:p>
        </w:tc>
      </w:tr>
      <w:tr w:rsidR="00084D42" w:rsidRPr="006F6894" w14:paraId="472BBA51" w14:textId="77777777" w:rsidTr="00CB223F">
        <w:tc>
          <w:tcPr>
            <w:tcW w:w="3894" w:type="dxa"/>
          </w:tcPr>
          <w:p w14:paraId="6D9B5111" w14:textId="77777777" w:rsidR="00084D42" w:rsidRPr="006F6894" w:rsidRDefault="00084D42" w:rsidP="006F6894">
            <w:pPr>
              <w:spacing w:line="480" w:lineRule="auto"/>
              <w:rPr>
                <w:b/>
              </w:rPr>
            </w:pPr>
            <w:r w:rsidRPr="006F6894">
              <w:rPr>
                <w:b/>
              </w:rPr>
              <w:t xml:space="preserve">Metric </w:t>
            </w:r>
          </w:p>
        </w:tc>
        <w:tc>
          <w:tcPr>
            <w:tcW w:w="1109" w:type="dxa"/>
          </w:tcPr>
          <w:p w14:paraId="7A81F3E8" w14:textId="77777777" w:rsidR="00084D42" w:rsidRPr="006F6894" w:rsidRDefault="00084D42" w:rsidP="006F6894">
            <w:pPr>
              <w:spacing w:line="480" w:lineRule="auto"/>
              <w:rPr>
                <w:b/>
              </w:rPr>
            </w:pPr>
            <w:r w:rsidRPr="006F6894">
              <w:rPr>
                <w:b/>
              </w:rPr>
              <w:t xml:space="preserve">Strongly Disagree </w:t>
            </w:r>
          </w:p>
        </w:tc>
        <w:tc>
          <w:tcPr>
            <w:tcW w:w="1109" w:type="dxa"/>
          </w:tcPr>
          <w:p w14:paraId="6676F980" w14:textId="77777777" w:rsidR="00084D42" w:rsidRPr="006F6894" w:rsidRDefault="00084D42" w:rsidP="006F6894">
            <w:pPr>
              <w:spacing w:line="480" w:lineRule="auto"/>
              <w:rPr>
                <w:b/>
              </w:rPr>
            </w:pPr>
            <w:r w:rsidRPr="006F6894">
              <w:rPr>
                <w:b/>
              </w:rPr>
              <w:t xml:space="preserve">Disagree </w:t>
            </w:r>
          </w:p>
        </w:tc>
        <w:tc>
          <w:tcPr>
            <w:tcW w:w="1310" w:type="dxa"/>
          </w:tcPr>
          <w:p w14:paraId="7D4E84D4" w14:textId="77777777" w:rsidR="00084D42" w:rsidRPr="006F6894" w:rsidRDefault="00084D42" w:rsidP="006F6894">
            <w:pPr>
              <w:spacing w:line="480" w:lineRule="auto"/>
              <w:rPr>
                <w:b/>
              </w:rPr>
            </w:pPr>
            <w:r w:rsidRPr="006F6894">
              <w:rPr>
                <w:b/>
              </w:rPr>
              <w:t xml:space="preserve">Undecided </w:t>
            </w:r>
          </w:p>
        </w:tc>
        <w:tc>
          <w:tcPr>
            <w:tcW w:w="829" w:type="dxa"/>
          </w:tcPr>
          <w:p w14:paraId="484AB758" w14:textId="77777777" w:rsidR="00084D42" w:rsidRPr="006F6894" w:rsidRDefault="00084D42" w:rsidP="006F6894">
            <w:pPr>
              <w:spacing w:line="480" w:lineRule="auto"/>
              <w:rPr>
                <w:b/>
              </w:rPr>
            </w:pPr>
            <w:r w:rsidRPr="006F6894">
              <w:rPr>
                <w:b/>
              </w:rPr>
              <w:t xml:space="preserve">Agree </w:t>
            </w:r>
          </w:p>
        </w:tc>
        <w:tc>
          <w:tcPr>
            <w:tcW w:w="1099" w:type="dxa"/>
          </w:tcPr>
          <w:p w14:paraId="75688E65" w14:textId="77777777" w:rsidR="00084D42" w:rsidRPr="006F6894" w:rsidRDefault="00084D42" w:rsidP="006F6894">
            <w:pPr>
              <w:spacing w:line="480" w:lineRule="auto"/>
              <w:rPr>
                <w:b/>
              </w:rPr>
            </w:pPr>
            <w:r w:rsidRPr="006F6894">
              <w:rPr>
                <w:b/>
              </w:rPr>
              <w:t xml:space="preserve">Strongly agree </w:t>
            </w:r>
          </w:p>
        </w:tc>
      </w:tr>
      <w:tr w:rsidR="00084D42" w:rsidRPr="006F6894" w14:paraId="63AA07C6" w14:textId="77777777" w:rsidTr="00CB223F">
        <w:tc>
          <w:tcPr>
            <w:tcW w:w="3894" w:type="dxa"/>
          </w:tcPr>
          <w:p w14:paraId="7397988E" w14:textId="594230F4" w:rsidR="00084D42" w:rsidRPr="006F6894" w:rsidRDefault="00084D42" w:rsidP="006F6894">
            <w:pPr>
              <w:spacing w:line="480" w:lineRule="auto"/>
            </w:pPr>
            <w:r w:rsidRPr="006F6894">
              <w:t xml:space="preserve">The presenter had </w:t>
            </w:r>
            <w:r w:rsidRPr="006F6894">
              <w:t>sufficient</w:t>
            </w:r>
            <w:r w:rsidRPr="006F6894">
              <w:t xml:space="preserve"> mastery </w:t>
            </w:r>
            <w:r w:rsidR="006F6894" w:rsidRPr="006F6894">
              <w:t>of</w:t>
            </w:r>
            <w:r w:rsidRPr="006F6894">
              <w:t xml:space="preserve"> the content</w:t>
            </w:r>
            <w:r w:rsidRPr="006F6894">
              <w:t xml:space="preserve"> and </w:t>
            </w:r>
            <w:r w:rsidR="006F6894" w:rsidRPr="006F6894">
              <w:t>practical</w:t>
            </w:r>
            <w:r w:rsidRPr="006F6894">
              <w:t xml:space="preserve"> content delivery skills. </w:t>
            </w:r>
          </w:p>
        </w:tc>
        <w:tc>
          <w:tcPr>
            <w:tcW w:w="1109" w:type="dxa"/>
          </w:tcPr>
          <w:p w14:paraId="19C46557" w14:textId="77777777" w:rsidR="00084D42" w:rsidRPr="006F6894" w:rsidRDefault="00084D42" w:rsidP="006F6894">
            <w:pPr>
              <w:spacing w:line="480" w:lineRule="auto"/>
            </w:pPr>
          </w:p>
        </w:tc>
        <w:tc>
          <w:tcPr>
            <w:tcW w:w="1109" w:type="dxa"/>
          </w:tcPr>
          <w:p w14:paraId="1E7087DC" w14:textId="77777777" w:rsidR="00084D42" w:rsidRPr="006F6894" w:rsidRDefault="00084D42" w:rsidP="006F6894">
            <w:pPr>
              <w:spacing w:line="480" w:lineRule="auto"/>
            </w:pPr>
          </w:p>
        </w:tc>
        <w:tc>
          <w:tcPr>
            <w:tcW w:w="1310" w:type="dxa"/>
          </w:tcPr>
          <w:p w14:paraId="5E18C0D0" w14:textId="77777777" w:rsidR="00084D42" w:rsidRPr="006F6894" w:rsidRDefault="00084D42" w:rsidP="006F6894">
            <w:pPr>
              <w:spacing w:line="480" w:lineRule="auto"/>
            </w:pPr>
          </w:p>
        </w:tc>
        <w:tc>
          <w:tcPr>
            <w:tcW w:w="829" w:type="dxa"/>
          </w:tcPr>
          <w:p w14:paraId="76A9C6BF" w14:textId="77777777" w:rsidR="00084D42" w:rsidRPr="006F6894" w:rsidRDefault="00084D42" w:rsidP="006F6894">
            <w:pPr>
              <w:spacing w:line="480" w:lineRule="auto"/>
            </w:pPr>
          </w:p>
        </w:tc>
        <w:tc>
          <w:tcPr>
            <w:tcW w:w="1099" w:type="dxa"/>
          </w:tcPr>
          <w:p w14:paraId="6A3A8FC2" w14:textId="77777777" w:rsidR="00084D42" w:rsidRPr="006F6894" w:rsidRDefault="00084D42" w:rsidP="006F6894">
            <w:pPr>
              <w:spacing w:line="480" w:lineRule="auto"/>
            </w:pPr>
          </w:p>
        </w:tc>
      </w:tr>
      <w:tr w:rsidR="00084D42" w:rsidRPr="006F6894" w14:paraId="69600057" w14:textId="77777777" w:rsidTr="00CB223F">
        <w:tc>
          <w:tcPr>
            <w:tcW w:w="3894" w:type="dxa"/>
          </w:tcPr>
          <w:p w14:paraId="0CF93244" w14:textId="5B5CD36F" w:rsidR="00084D42" w:rsidRPr="006F6894" w:rsidRDefault="00084D42" w:rsidP="006F6894">
            <w:pPr>
              <w:spacing w:line="480" w:lineRule="auto"/>
            </w:pPr>
            <w:r w:rsidRPr="006F6894">
              <w:t xml:space="preserve">The presenter sufficiently </w:t>
            </w:r>
            <w:r w:rsidRPr="006F6894">
              <w:t xml:space="preserve">prepared for </w:t>
            </w:r>
            <w:r w:rsidR="006F6894" w:rsidRPr="006F6894">
              <w:t xml:space="preserve">the </w:t>
            </w:r>
            <w:r w:rsidRPr="006F6894">
              <w:t>presentation</w:t>
            </w:r>
            <w:r w:rsidRPr="006F6894">
              <w:t xml:space="preserve"> and the teaching material.</w:t>
            </w:r>
          </w:p>
        </w:tc>
        <w:tc>
          <w:tcPr>
            <w:tcW w:w="1109" w:type="dxa"/>
          </w:tcPr>
          <w:p w14:paraId="4F0A0D6E" w14:textId="77777777" w:rsidR="00084D42" w:rsidRPr="006F6894" w:rsidRDefault="00084D42" w:rsidP="006F6894">
            <w:pPr>
              <w:spacing w:line="480" w:lineRule="auto"/>
            </w:pPr>
          </w:p>
        </w:tc>
        <w:tc>
          <w:tcPr>
            <w:tcW w:w="1109" w:type="dxa"/>
          </w:tcPr>
          <w:p w14:paraId="4FB20DAD" w14:textId="77777777" w:rsidR="00084D42" w:rsidRPr="006F6894" w:rsidRDefault="00084D42" w:rsidP="006F6894">
            <w:pPr>
              <w:spacing w:line="480" w:lineRule="auto"/>
            </w:pPr>
          </w:p>
        </w:tc>
        <w:tc>
          <w:tcPr>
            <w:tcW w:w="1310" w:type="dxa"/>
          </w:tcPr>
          <w:p w14:paraId="7CC38215" w14:textId="77777777" w:rsidR="00084D42" w:rsidRPr="006F6894" w:rsidRDefault="00084D42" w:rsidP="006F6894">
            <w:pPr>
              <w:spacing w:line="480" w:lineRule="auto"/>
            </w:pPr>
          </w:p>
        </w:tc>
        <w:tc>
          <w:tcPr>
            <w:tcW w:w="829" w:type="dxa"/>
          </w:tcPr>
          <w:p w14:paraId="73625078" w14:textId="77777777" w:rsidR="00084D42" w:rsidRPr="006F6894" w:rsidRDefault="00084D42" w:rsidP="006F6894">
            <w:pPr>
              <w:spacing w:line="480" w:lineRule="auto"/>
            </w:pPr>
          </w:p>
        </w:tc>
        <w:tc>
          <w:tcPr>
            <w:tcW w:w="1099" w:type="dxa"/>
          </w:tcPr>
          <w:p w14:paraId="1DB5FAB7" w14:textId="77777777" w:rsidR="00084D42" w:rsidRPr="006F6894" w:rsidRDefault="00084D42" w:rsidP="006F6894">
            <w:pPr>
              <w:spacing w:line="480" w:lineRule="auto"/>
            </w:pPr>
          </w:p>
        </w:tc>
      </w:tr>
      <w:tr w:rsidR="00084D42" w:rsidRPr="006F6894" w14:paraId="1DC1127C" w14:textId="77777777" w:rsidTr="00CB223F">
        <w:tc>
          <w:tcPr>
            <w:tcW w:w="3894" w:type="dxa"/>
          </w:tcPr>
          <w:p w14:paraId="22F9FCD9" w14:textId="6494137E" w:rsidR="00084D42" w:rsidRPr="006F6894" w:rsidRDefault="00084D42" w:rsidP="006F6894">
            <w:pPr>
              <w:spacing w:line="480" w:lineRule="auto"/>
            </w:pPr>
            <w:r w:rsidRPr="006F6894">
              <w:t>The presentation was organized</w:t>
            </w:r>
            <w:r w:rsidRPr="006F6894">
              <w:t>, with ease of following the content presentation</w:t>
            </w:r>
            <w:r w:rsidRPr="006F6894">
              <w:t>.</w:t>
            </w:r>
          </w:p>
        </w:tc>
        <w:tc>
          <w:tcPr>
            <w:tcW w:w="1109" w:type="dxa"/>
          </w:tcPr>
          <w:p w14:paraId="6B65D23E" w14:textId="77777777" w:rsidR="00084D42" w:rsidRPr="006F6894" w:rsidRDefault="00084D42" w:rsidP="006F6894">
            <w:pPr>
              <w:spacing w:line="480" w:lineRule="auto"/>
            </w:pPr>
          </w:p>
        </w:tc>
        <w:tc>
          <w:tcPr>
            <w:tcW w:w="1109" w:type="dxa"/>
          </w:tcPr>
          <w:p w14:paraId="3C3F8451" w14:textId="77777777" w:rsidR="00084D42" w:rsidRPr="006F6894" w:rsidRDefault="00084D42" w:rsidP="006F6894">
            <w:pPr>
              <w:spacing w:line="480" w:lineRule="auto"/>
            </w:pPr>
          </w:p>
        </w:tc>
        <w:tc>
          <w:tcPr>
            <w:tcW w:w="1310" w:type="dxa"/>
          </w:tcPr>
          <w:p w14:paraId="6BC3F190" w14:textId="77777777" w:rsidR="00084D42" w:rsidRPr="006F6894" w:rsidRDefault="00084D42" w:rsidP="006F6894">
            <w:pPr>
              <w:spacing w:line="480" w:lineRule="auto"/>
            </w:pPr>
          </w:p>
        </w:tc>
        <w:tc>
          <w:tcPr>
            <w:tcW w:w="829" w:type="dxa"/>
          </w:tcPr>
          <w:p w14:paraId="57170EDB" w14:textId="77777777" w:rsidR="00084D42" w:rsidRPr="006F6894" w:rsidRDefault="00084D42" w:rsidP="006F6894">
            <w:pPr>
              <w:spacing w:line="480" w:lineRule="auto"/>
            </w:pPr>
          </w:p>
        </w:tc>
        <w:tc>
          <w:tcPr>
            <w:tcW w:w="1099" w:type="dxa"/>
          </w:tcPr>
          <w:p w14:paraId="2AA1D6FB" w14:textId="77777777" w:rsidR="00084D42" w:rsidRPr="006F6894" w:rsidRDefault="00084D42" w:rsidP="006F6894">
            <w:pPr>
              <w:spacing w:line="480" w:lineRule="auto"/>
            </w:pPr>
          </w:p>
        </w:tc>
      </w:tr>
      <w:tr w:rsidR="00084D42" w:rsidRPr="006F6894" w14:paraId="3B3E0B5E" w14:textId="77777777" w:rsidTr="00CB223F">
        <w:tc>
          <w:tcPr>
            <w:tcW w:w="3894" w:type="dxa"/>
          </w:tcPr>
          <w:p w14:paraId="12EED479" w14:textId="4B0924F1" w:rsidR="00084D42" w:rsidRPr="006F6894" w:rsidRDefault="00084D42" w:rsidP="006F6894">
            <w:pPr>
              <w:spacing w:line="480" w:lineRule="auto"/>
            </w:pPr>
            <w:r w:rsidRPr="006F6894">
              <w:lastRenderedPageBreak/>
              <w:t xml:space="preserve">The presenter </w:t>
            </w:r>
            <w:r w:rsidR="00D21D72" w:rsidRPr="006F6894">
              <w:t>adequ</w:t>
            </w:r>
            <w:r w:rsidR="006F6894" w:rsidRPr="006F6894">
              <w:t>a</w:t>
            </w:r>
            <w:r w:rsidR="00D21D72" w:rsidRPr="006F6894">
              <w:t>tely involved the audience during the teaching and learning process</w:t>
            </w:r>
            <w:r w:rsidRPr="006F6894">
              <w:t>.</w:t>
            </w:r>
          </w:p>
        </w:tc>
        <w:tc>
          <w:tcPr>
            <w:tcW w:w="1109" w:type="dxa"/>
          </w:tcPr>
          <w:p w14:paraId="6F59ECFD" w14:textId="77777777" w:rsidR="00084D42" w:rsidRPr="006F6894" w:rsidRDefault="00084D42" w:rsidP="006F6894">
            <w:pPr>
              <w:spacing w:line="480" w:lineRule="auto"/>
            </w:pPr>
          </w:p>
        </w:tc>
        <w:tc>
          <w:tcPr>
            <w:tcW w:w="1109" w:type="dxa"/>
          </w:tcPr>
          <w:p w14:paraId="67E5873D" w14:textId="77777777" w:rsidR="00084D42" w:rsidRPr="006F6894" w:rsidRDefault="00084D42" w:rsidP="006F6894">
            <w:pPr>
              <w:spacing w:line="480" w:lineRule="auto"/>
            </w:pPr>
          </w:p>
        </w:tc>
        <w:tc>
          <w:tcPr>
            <w:tcW w:w="1310" w:type="dxa"/>
          </w:tcPr>
          <w:p w14:paraId="6B822D90" w14:textId="77777777" w:rsidR="00084D42" w:rsidRPr="006F6894" w:rsidRDefault="00084D42" w:rsidP="006F6894">
            <w:pPr>
              <w:spacing w:line="480" w:lineRule="auto"/>
            </w:pPr>
          </w:p>
        </w:tc>
        <w:tc>
          <w:tcPr>
            <w:tcW w:w="829" w:type="dxa"/>
          </w:tcPr>
          <w:p w14:paraId="7C1AD78F" w14:textId="77777777" w:rsidR="00084D42" w:rsidRPr="006F6894" w:rsidRDefault="00084D42" w:rsidP="006F6894">
            <w:pPr>
              <w:spacing w:line="480" w:lineRule="auto"/>
            </w:pPr>
          </w:p>
        </w:tc>
        <w:tc>
          <w:tcPr>
            <w:tcW w:w="1099" w:type="dxa"/>
          </w:tcPr>
          <w:p w14:paraId="2CCC78AB" w14:textId="77777777" w:rsidR="00084D42" w:rsidRPr="006F6894" w:rsidRDefault="00084D42" w:rsidP="006F6894">
            <w:pPr>
              <w:spacing w:line="480" w:lineRule="auto"/>
            </w:pPr>
          </w:p>
        </w:tc>
      </w:tr>
      <w:tr w:rsidR="00084D42" w:rsidRPr="006F6894" w14:paraId="7134DF17" w14:textId="77777777" w:rsidTr="00CB223F">
        <w:tc>
          <w:tcPr>
            <w:tcW w:w="3894" w:type="dxa"/>
          </w:tcPr>
          <w:p w14:paraId="5646E76B" w14:textId="5DB0BFBD" w:rsidR="00084D42" w:rsidRPr="006F6894" w:rsidRDefault="00084D42" w:rsidP="006F6894">
            <w:pPr>
              <w:spacing w:line="480" w:lineRule="auto"/>
            </w:pPr>
            <w:r w:rsidRPr="006F6894">
              <w:t xml:space="preserve">The presentation was done </w:t>
            </w:r>
            <w:r w:rsidR="006F6894" w:rsidRPr="006F6894">
              <w:t>promptly</w:t>
            </w:r>
            <w:r w:rsidR="00672CEB" w:rsidRPr="006F6894">
              <w:t xml:space="preserve">, </w:t>
            </w:r>
            <w:r w:rsidR="006F6894" w:rsidRPr="006F6894">
              <w:t xml:space="preserve">and </w:t>
            </w:r>
            <w:r w:rsidR="00672CEB" w:rsidRPr="006F6894">
              <w:t xml:space="preserve">that was captivating throughout. </w:t>
            </w:r>
          </w:p>
        </w:tc>
        <w:tc>
          <w:tcPr>
            <w:tcW w:w="1109" w:type="dxa"/>
          </w:tcPr>
          <w:p w14:paraId="7928DEA4" w14:textId="77777777" w:rsidR="00084D42" w:rsidRPr="006F6894" w:rsidRDefault="00084D42" w:rsidP="006F6894">
            <w:pPr>
              <w:spacing w:line="480" w:lineRule="auto"/>
            </w:pPr>
          </w:p>
        </w:tc>
        <w:tc>
          <w:tcPr>
            <w:tcW w:w="1109" w:type="dxa"/>
          </w:tcPr>
          <w:p w14:paraId="2FF23390" w14:textId="77777777" w:rsidR="00084D42" w:rsidRPr="006F6894" w:rsidRDefault="00084D42" w:rsidP="006F6894">
            <w:pPr>
              <w:spacing w:line="480" w:lineRule="auto"/>
            </w:pPr>
          </w:p>
        </w:tc>
        <w:tc>
          <w:tcPr>
            <w:tcW w:w="1310" w:type="dxa"/>
          </w:tcPr>
          <w:p w14:paraId="79B0EA0F" w14:textId="77777777" w:rsidR="00084D42" w:rsidRPr="006F6894" w:rsidRDefault="00084D42" w:rsidP="006F6894">
            <w:pPr>
              <w:spacing w:line="480" w:lineRule="auto"/>
            </w:pPr>
          </w:p>
        </w:tc>
        <w:tc>
          <w:tcPr>
            <w:tcW w:w="829" w:type="dxa"/>
          </w:tcPr>
          <w:p w14:paraId="13103DFC" w14:textId="77777777" w:rsidR="00084D42" w:rsidRPr="006F6894" w:rsidRDefault="00084D42" w:rsidP="006F6894">
            <w:pPr>
              <w:spacing w:line="480" w:lineRule="auto"/>
            </w:pPr>
          </w:p>
        </w:tc>
        <w:tc>
          <w:tcPr>
            <w:tcW w:w="1099" w:type="dxa"/>
          </w:tcPr>
          <w:p w14:paraId="71269BD3" w14:textId="77777777" w:rsidR="00084D42" w:rsidRPr="006F6894" w:rsidRDefault="00084D42" w:rsidP="006F6894">
            <w:pPr>
              <w:spacing w:line="480" w:lineRule="auto"/>
            </w:pPr>
          </w:p>
        </w:tc>
      </w:tr>
    </w:tbl>
    <w:p w14:paraId="6E36C849" w14:textId="77777777" w:rsidR="00151DFF" w:rsidRPr="006F6894" w:rsidRDefault="00151DFF" w:rsidP="006F6894">
      <w:pPr>
        <w:pStyle w:val="GrandCanyonNumberedList"/>
        <w:numPr>
          <w:ilvl w:val="0"/>
          <w:numId w:val="0"/>
        </w:numPr>
        <w:spacing w:line="480" w:lineRule="auto"/>
        <w:rPr>
          <w:b/>
        </w:rPr>
      </w:pPr>
    </w:p>
    <w:p w14:paraId="46AE9CEB" w14:textId="231FCECC" w:rsidR="00151DFF" w:rsidRPr="006F6894" w:rsidRDefault="00151DFF" w:rsidP="006F6894">
      <w:pPr>
        <w:pStyle w:val="GrandCanyonNumberedList"/>
        <w:numPr>
          <w:ilvl w:val="0"/>
          <w:numId w:val="0"/>
        </w:numPr>
        <w:spacing w:line="480" w:lineRule="auto"/>
      </w:pPr>
      <w:r w:rsidRPr="006F6894">
        <w:rPr>
          <w:b/>
        </w:rPr>
        <w:t>Barriers:</w:t>
      </w:r>
      <w:r w:rsidRPr="006F6894">
        <w:t xml:space="preserve"> </w:t>
      </w:r>
    </w:p>
    <w:p w14:paraId="566CD999" w14:textId="0864C7FC" w:rsidR="00151DFF" w:rsidRPr="006F6894" w:rsidRDefault="00424449" w:rsidP="006F6894">
      <w:pPr>
        <w:pStyle w:val="GrandCanyonNumberedList"/>
        <w:numPr>
          <w:ilvl w:val="0"/>
          <w:numId w:val="0"/>
        </w:numPr>
        <w:spacing w:line="480" w:lineRule="auto"/>
        <w:ind w:firstLine="720"/>
        <w:rPr>
          <w:b/>
        </w:rPr>
      </w:pPr>
      <w:r w:rsidRPr="006F6894">
        <w:t>The teaching activity’s target audience consist</w:t>
      </w:r>
      <w:r w:rsidR="006F6894" w:rsidRPr="006F6894">
        <w:t>s</w:t>
      </w:r>
      <w:r w:rsidRPr="006F6894">
        <w:t xml:space="preserve"> of elderly clients at the care facility who might have challenges in learning due to age-related cognitive decline and memory loss. As such, the learning might be undermined by slow-paced content presentation as the learners will be </w:t>
      </w:r>
      <w:r w:rsidRPr="006F6894">
        <w:t xml:space="preserve">required to verify their comprehension of the material presented in a given section before moving on to the next. At the end of the class, attendees will get a brochure to assist them </w:t>
      </w:r>
      <w:r w:rsidR="006F6894" w:rsidRPr="006F6894">
        <w:t>in reviewing</w:t>
      </w:r>
      <w:r w:rsidRPr="006F6894">
        <w:t xml:space="preserve"> the material and shar</w:t>
      </w:r>
      <w:r w:rsidR="006F6894" w:rsidRPr="006F6894">
        <w:t>ing</w:t>
      </w:r>
      <w:r w:rsidRPr="006F6894">
        <w:t xml:space="preserve"> it with their significant others for more comprehension.</w:t>
      </w:r>
      <w:r w:rsidRPr="006F6894">
        <w:t xml:space="preserve"> Considering </w:t>
      </w:r>
      <w:r w:rsidR="006F6894" w:rsidRPr="006F6894">
        <w:t>some attendees' age and pre-existing health condition</w:t>
      </w:r>
      <w:r w:rsidRPr="006F6894">
        <w:t xml:space="preserve">s, it might be challenging for some learners to </w:t>
      </w:r>
      <w:r w:rsidR="006F6894" w:rsidRPr="006F6894">
        <w:t>concentrate fully</w:t>
      </w:r>
      <w:r w:rsidRPr="006F6894">
        <w:t xml:space="preserve"> for the 50 minutes</w:t>
      </w:r>
      <w:r w:rsidR="006F6894" w:rsidRPr="006F6894">
        <w:t>,</w:t>
      </w:r>
      <w:r w:rsidRPr="006F6894">
        <w:t xml:space="preserve"> thereby challenging the attainment of maximum learning among the attendees.</w:t>
      </w:r>
      <w:r w:rsidR="00091029" w:rsidRPr="006F6894">
        <w:t xml:space="preserve"> </w:t>
      </w:r>
      <w:r w:rsidR="009C6197" w:rsidRPr="006F6894">
        <w:t>In addressing the issue of short</w:t>
      </w:r>
      <w:r w:rsidR="006F6894" w:rsidRPr="006F6894">
        <w:t>-</w:t>
      </w:r>
      <w:r w:rsidR="009C6197" w:rsidRPr="006F6894">
        <w:t>span attention among the attendees</w:t>
      </w:r>
      <w:r w:rsidR="006F6894" w:rsidRPr="006F6894">
        <w:t>,</w:t>
      </w:r>
      <w:r w:rsidR="009C6197" w:rsidRPr="006F6894">
        <w:t xml:space="preserve"> </w:t>
      </w:r>
      <w:r w:rsidR="006F6894" w:rsidRPr="006F6894">
        <w:t>reducing the lesson time to 35 minutes and having adequate learner participation activities throughout the lesson are significant</w:t>
      </w:r>
      <w:r w:rsidR="009C6197" w:rsidRPr="006F6894">
        <w:t xml:space="preserve">. </w:t>
      </w:r>
    </w:p>
    <w:p w14:paraId="0E77E3DE" w14:textId="0651E7F1" w:rsidR="003F1ADC" w:rsidRPr="006F6894" w:rsidRDefault="00822AEF" w:rsidP="006F6894">
      <w:pPr>
        <w:pStyle w:val="GrandCanyonNumberedList"/>
        <w:numPr>
          <w:ilvl w:val="0"/>
          <w:numId w:val="0"/>
        </w:numPr>
        <w:spacing w:line="480" w:lineRule="auto"/>
      </w:pPr>
      <w:r w:rsidRPr="006F6894">
        <w:rPr>
          <w:b/>
        </w:rPr>
        <w:t xml:space="preserve">Therapeutic </w:t>
      </w:r>
      <w:r w:rsidR="003F1ADC" w:rsidRPr="006F6894">
        <w:rPr>
          <w:b/>
        </w:rPr>
        <w:t>Communication</w:t>
      </w:r>
    </w:p>
    <w:p w14:paraId="08F6B42E" w14:textId="1D58C519" w:rsidR="003F1ADC" w:rsidRPr="006F6894" w:rsidRDefault="003F1ADC" w:rsidP="006F6894">
      <w:pPr>
        <w:spacing w:line="480" w:lineRule="auto"/>
      </w:pPr>
      <w:r w:rsidRPr="006F6894">
        <w:rPr>
          <w:i/>
        </w:rPr>
        <w:t>4.2 Communicate therapeutically with patients.</w:t>
      </w:r>
    </w:p>
    <w:p w14:paraId="603496C3" w14:textId="01C1CF02" w:rsidR="008923D7" w:rsidRPr="006F6894" w:rsidRDefault="008923D7" w:rsidP="006F6894">
      <w:pPr>
        <w:pStyle w:val="GrandCanyonNumberedList"/>
        <w:numPr>
          <w:ilvl w:val="0"/>
          <w:numId w:val="0"/>
        </w:numPr>
        <w:spacing w:line="480" w:lineRule="auto"/>
        <w:ind w:firstLine="720"/>
      </w:pPr>
      <w:r w:rsidRPr="006F6894">
        <w:t xml:space="preserve">I will begin the presentation by </w:t>
      </w:r>
      <w:r w:rsidR="005D24E7" w:rsidRPr="006F6894">
        <w:t xml:space="preserve">introducing myself and letting the attendees </w:t>
      </w:r>
      <w:r w:rsidR="006F6894" w:rsidRPr="006F6894">
        <w:t>introduc</w:t>
      </w:r>
      <w:r w:rsidR="005D24E7" w:rsidRPr="006F6894">
        <w:t>e themselve</w:t>
      </w:r>
      <w:r w:rsidR="006F6894" w:rsidRPr="006F6894">
        <w:t>s</w:t>
      </w:r>
      <w:r w:rsidR="005D24E7" w:rsidRPr="006F6894">
        <w:t xml:space="preserve">, share something about themselves with the others, and something they are eager to learn during the lesson. After the introduction, I will outline the topic and the goals and </w:t>
      </w:r>
      <w:r w:rsidR="005D24E7" w:rsidRPr="006F6894">
        <w:lastRenderedPageBreak/>
        <w:t xml:space="preserve">objectives </w:t>
      </w:r>
      <w:r w:rsidR="006F6894" w:rsidRPr="006F6894">
        <w:t>we should achieve by completing</w:t>
      </w:r>
      <w:r w:rsidR="005D24E7" w:rsidRPr="006F6894">
        <w:t xml:space="preserve"> the learning exercise. </w:t>
      </w:r>
      <w:r w:rsidR="002D3D94" w:rsidRPr="006F6894">
        <w:t xml:space="preserve">I will </w:t>
      </w:r>
      <w:r w:rsidR="006F6894" w:rsidRPr="006F6894">
        <w:t>ask</w:t>
      </w:r>
      <w:r w:rsidR="002D3D94" w:rsidRPr="006F6894">
        <w:t xml:space="preserve"> for examples and personal experiences about different learning </w:t>
      </w:r>
      <w:r w:rsidR="00B00F96" w:rsidRPr="006F6894">
        <w:t xml:space="preserve">activities and topics </w:t>
      </w:r>
      <w:r w:rsidR="009B5A43" w:rsidRPr="006F6894">
        <w:t>t</w:t>
      </w:r>
      <w:r w:rsidR="006F6894" w:rsidRPr="006F6894">
        <w:t>o</w:t>
      </w:r>
      <w:r w:rsidR="009B5A43" w:rsidRPr="006F6894">
        <w:t xml:space="preserve"> captivate active listening and a sense of ownership of the presentation content. </w:t>
      </w:r>
      <w:r w:rsidR="00DF5914" w:rsidRPr="006F6894">
        <w:t xml:space="preserve">The learners will also be allowed to ask questions and seek clarifications </w:t>
      </w:r>
      <w:r w:rsidR="006F6894" w:rsidRPr="006F6894">
        <w:t>in content areas</w:t>
      </w:r>
      <w:r w:rsidR="00DF5914" w:rsidRPr="006F6894">
        <w:t xml:space="preserve"> they don’t understand. </w:t>
      </w:r>
      <w:r w:rsidR="0084609B" w:rsidRPr="006F6894">
        <w:t xml:space="preserve">The </w:t>
      </w:r>
      <w:r w:rsidR="006F6894" w:rsidRPr="006F6894">
        <w:t>presentation's conclus</w:t>
      </w:r>
      <w:r w:rsidR="0084609B" w:rsidRPr="006F6894">
        <w:t>ion will involve a summary of the discussed content, question and an</w:t>
      </w:r>
      <w:r w:rsidR="006F6894" w:rsidRPr="006F6894">
        <w:t>s</w:t>
      </w:r>
      <w:r w:rsidR="0084609B" w:rsidRPr="006F6894">
        <w:t xml:space="preserve">wer session, besides feedback provision by the learners over the overall presentation experience. </w:t>
      </w:r>
      <w:r w:rsidR="001E6F30" w:rsidRPr="006F6894">
        <w:t xml:space="preserve">Finally, the attendees will be given </w:t>
      </w:r>
      <w:r w:rsidR="006F6894" w:rsidRPr="006F6894">
        <w:t xml:space="preserve">a </w:t>
      </w:r>
      <w:r w:rsidR="001E6F30" w:rsidRPr="006F6894">
        <w:t xml:space="preserve">pamphlet as their take-home resource. Some of the non-verbal communication techniques </w:t>
      </w:r>
      <w:r w:rsidR="006F6894" w:rsidRPr="006F6894">
        <w:t>utilized during the presentation include maintaining an appropriate posture, nodding in acknowledgement to the attendees contribution and maintaining eye contact</w:t>
      </w:r>
      <w:r w:rsidR="001E6F30" w:rsidRPr="006F6894">
        <w:t xml:space="preserve"> throughout the lesson. </w:t>
      </w:r>
    </w:p>
    <w:p w14:paraId="4C162505" w14:textId="77777777" w:rsidR="002A4470" w:rsidRPr="006F6894" w:rsidRDefault="002A4470" w:rsidP="006F6894">
      <w:pPr>
        <w:spacing w:line="480" w:lineRule="auto"/>
        <w:jc w:val="center"/>
        <w:rPr>
          <w:b/>
        </w:rPr>
      </w:pPr>
    </w:p>
    <w:p w14:paraId="27638AFA" w14:textId="77777777" w:rsidR="002A4470" w:rsidRPr="006F6894" w:rsidRDefault="002A4470" w:rsidP="006F6894">
      <w:pPr>
        <w:spacing w:line="480" w:lineRule="auto"/>
        <w:jc w:val="center"/>
        <w:rPr>
          <w:b/>
        </w:rPr>
      </w:pPr>
    </w:p>
    <w:p w14:paraId="540052F2" w14:textId="77777777" w:rsidR="002A4470" w:rsidRPr="006F6894" w:rsidRDefault="002A4470" w:rsidP="006F6894">
      <w:pPr>
        <w:spacing w:line="480" w:lineRule="auto"/>
        <w:jc w:val="center"/>
        <w:rPr>
          <w:b/>
        </w:rPr>
      </w:pPr>
    </w:p>
    <w:p w14:paraId="26501AD2" w14:textId="77777777" w:rsidR="002A4470" w:rsidRPr="006F6894" w:rsidRDefault="002A4470" w:rsidP="006F6894">
      <w:pPr>
        <w:spacing w:line="480" w:lineRule="auto"/>
        <w:jc w:val="center"/>
        <w:rPr>
          <w:b/>
        </w:rPr>
      </w:pPr>
    </w:p>
    <w:p w14:paraId="28E76045" w14:textId="718E0C8C" w:rsidR="002A4470" w:rsidRDefault="002A4470" w:rsidP="006F6894">
      <w:pPr>
        <w:spacing w:line="480" w:lineRule="auto"/>
        <w:jc w:val="center"/>
        <w:rPr>
          <w:b/>
        </w:rPr>
      </w:pPr>
    </w:p>
    <w:p w14:paraId="71844719" w14:textId="7AA88E2D" w:rsidR="006F6894" w:rsidRDefault="006F6894" w:rsidP="006F6894">
      <w:pPr>
        <w:spacing w:line="480" w:lineRule="auto"/>
        <w:jc w:val="center"/>
        <w:rPr>
          <w:b/>
        </w:rPr>
      </w:pPr>
    </w:p>
    <w:p w14:paraId="2F635D8B" w14:textId="12086774" w:rsidR="006F6894" w:rsidRDefault="006F6894" w:rsidP="006F6894">
      <w:pPr>
        <w:spacing w:line="480" w:lineRule="auto"/>
        <w:jc w:val="center"/>
        <w:rPr>
          <w:b/>
        </w:rPr>
      </w:pPr>
    </w:p>
    <w:p w14:paraId="67758B54" w14:textId="236F0C94" w:rsidR="006F6894" w:rsidRDefault="006F6894" w:rsidP="006F6894">
      <w:pPr>
        <w:spacing w:line="480" w:lineRule="auto"/>
        <w:jc w:val="center"/>
        <w:rPr>
          <w:b/>
        </w:rPr>
      </w:pPr>
    </w:p>
    <w:p w14:paraId="7642554A" w14:textId="69CEFBAE" w:rsidR="006F6894" w:rsidRDefault="006F6894" w:rsidP="006F6894">
      <w:pPr>
        <w:spacing w:line="480" w:lineRule="auto"/>
        <w:jc w:val="center"/>
        <w:rPr>
          <w:b/>
        </w:rPr>
      </w:pPr>
    </w:p>
    <w:p w14:paraId="449A2F88" w14:textId="6A1E4EC4" w:rsidR="006F6894" w:rsidRDefault="006F6894" w:rsidP="006F6894">
      <w:pPr>
        <w:spacing w:line="480" w:lineRule="auto"/>
        <w:jc w:val="center"/>
        <w:rPr>
          <w:b/>
        </w:rPr>
      </w:pPr>
    </w:p>
    <w:p w14:paraId="27C0B7A8" w14:textId="27526493" w:rsidR="006F6894" w:rsidRDefault="006F6894" w:rsidP="006F6894">
      <w:pPr>
        <w:spacing w:line="480" w:lineRule="auto"/>
        <w:jc w:val="center"/>
        <w:rPr>
          <w:b/>
        </w:rPr>
      </w:pPr>
    </w:p>
    <w:p w14:paraId="1EE92C41" w14:textId="72536CB6" w:rsidR="006F6894" w:rsidRDefault="006F6894" w:rsidP="006F6894">
      <w:pPr>
        <w:spacing w:line="480" w:lineRule="auto"/>
        <w:jc w:val="center"/>
        <w:rPr>
          <w:b/>
        </w:rPr>
      </w:pPr>
    </w:p>
    <w:p w14:paraId="057E7DAE" w14:textId="77777777" w:rsidR="006F6894" w:rsidRPr="006F6894" w:rsidRDefault="006F6894" w:rsidP="006F6894">
      <w:pPr>
        <w:spacing w:line="480" w:lineRule="auto"/>
        <w:jc w:val="center"/>
        <w:rPr>
          <w:b/>
        </w:rPr>
      </w:pPr>
      <w:bookmarkStart w:id="0" w:name="_GoBack"/>
      <w:bookmarkEnd w:id="0"/>
    </w:p>
    <w:p w14:paraId="68038DDE" w14:textId="6A21AC99" w:rsidR="00151DFF" w:rsidRPr="006F6894" w:rsidRDefault="00E51D90" w:rsidP="006F6894">
      <w:pPr>
        <w:spacing w:line="480" w:lineRule="auto"/>
        <w:jc w:val="center"/>
        <w:rPr>
          <w:b/>
        </w:rPr>
      </w:pPr>
      <w:r w:rsidRPr="006F6894">
        <w:rPr>
          <w:b/>
        </w:rPr>
        <w:lastRenderedPageBreak/>
        <w:t>References</w:t>
      </w:r>
    </w:p>
    <w:p w14:paraId="42E7616A" w14:textId="77777777" w:rsidR="00887F15" w:rsidRPr="006F6894" w:rsidRDefault="00887F15" w:rsidP="006F6894">
      <w:pPr>
        <w:spacing w:line="480" w:lineRule="auto"/>
        <w:ind w:left="720" w:hanging="720"/>
      </w:pPr>
      <w:r w:rsidRPr="006F6894">
        <w:t>CDC. (2021, December 1). </w:t>
      </w:r>
      <w:r w:rsidRPr="006F6894">
        <w:rPr>
          <w:i/>
          <w:iCs/>
        </w:rPr>
        <w:t>Facts about falls</w:t>
      </w:r>
      <w:r w:rsidRPr="006F6894">
        <w:t>. Centers for Disease Control and Prevention. </w:t>
      </w:r>
      <w:hyperlink r:id="rId11" w:history="1">
        <w:r w:rsidRPr="006F6894">
          <w:rPr>
            <w:rStyle w:val="Hyperlink"/>
          </w:rPr>
          <w:t>https://www.cdc.gov/falls/facts.html</w:t>
        </w:r>
      </w:hyperlink>
      <w:r w:rsidRPr="006F6894">
        <w:t xml:space="preserve"> </w:t>
      </w:r>
    </w:p>
    <w:p w14:paraId="4190FB25" w14:textId="77777777" w:rsidR="00887F15" w:rsidRPr="006F6894" w:rsidRDefault="00887F15" w:rsidP="006F6894">
      <w:pPr>
        <w:spacing w:line="480" w:lineRule="auto"/>
        <w:ind w:left="720" w:hanging="720"/>
        <w:rPr>
          <w:noProof/>
        </w:rPr>
      </w:pPr>
      <w:r w:rsidRPr="006F6894">
        <w:rPr>
          <w:noProof/>
        </w:rPr>
        <w:t xml:space="preserve">Centers for Disease Control and Prevention (CDC). (2020). Healthy People 2020. </w:t>
      </w:r>
      <w:r w:rsidRPr="006F6894">
        <w:rPr>
          <w:i/>
          <w:noProof/>
        </w:rPr>
        <w:t>CDC.gov.</w:t>
      </w:r>
      <w:r w:rsidRPr="006F6894">
        <w:rPr>
          <w:noProof/>
        </w:rPr>
        <w:t xml:space="preserve"> </w:t>
      </w:r>
      <w:hyperlink r:id="rId12" w:history="1">
        <w:r w:rsidRPr="006F6894">
          <w:rPr>
            <w:rStyle w:val="Hyperlink"/>
            <w:noProof/>
          </w:rPr>
          <w:t>https://www.cdc.gov/nchs/healthy_people/hp2020.htm</w:t>
        </w:r>
      </w:hyperlink>
      <w:r w:rsidRPr="006F6894">
        <w:rPr>
          <w:noProof/>
        </w:rPr>
        <w:t xml:space="preserve"> </w:t>
      </w:r>
    </w:p>
    <w:p w14:paraId="71FF99E6" w14:textId="77777777" w:rsidR="00887F15" w:rsidRPr="006F6894" w:rsidRDefault="00887F15" w:rsidP="006F6894">
      <w:pPr>
        <w:spacing w:line="480" w:lineRule="auto"/>
        <w:ind w:left="720" w:hanging="720"/>
        <w:rPr>
          <w:rStyle w:val="Hyperlink"/>
        </w:rPr>
      </w:pPr>
      <w:r w:rsidRPr="006F6894">
        <w:t>Falkner, A. (2018). </w:t>
      </w:r>
      <w:r w:rsidRPr="006F6894">
        <w:rPr>
          <w:i/>
          <w:iCs/>
        </w:rPr>
        <w:t>Community &amp; public health: The future of health care</w:t>
      </w:r>
      <w:r w:rsidRPr="006F6894">
        <w:t>. </w:t>
      </w:r>
      <w:hyperlink r:id="rId13" w:anchor="/chapter/3" w:history="1">
        <w:r w:rsidRPr="006F6894">
          <w:rPr>
            <w:rStyle w:val="Hyperlink"/>
          </w:rPr>
          <w:t>https://lc.gcumedia.com/nrs427vn/community-and-public-health-the-future-of-health-care/v1.1/#/chapter/3</w:t>
        </w:r>
      </w:hyperlink>
    </w:p>
    <w:p w14:paraId="75BFF620" w14:textId="77777777" w:rsidR="00887F15" w:rsidRPr="006F6894" w:rsidRDefault="00887F15" w:rsidP="006F6894">
      <w:pPr>
        <w:spacing w:line="480" w:lineRule="auto"/>
        <w:ind w:left="720" w:hanging="720"/>
        <w:rPr>
          <w:rStyle w:val="Hyperlink"/>
          <w:noProof/>
        </w:rPr>
      </w:pPr>
      <w:r w:rsidRPr="006F6894">
        <w:rPr>
          <w:noProof/>
        </w:rPr>
        <w:t>Goode, S. C., Wright, T. F., &amp; Lynch, C. (2020). Osteoporosis Screening and Treatment: A Collaborative Approach. </w:t>
      </w:r>
      <w:r w:rsidRPr="006F6894">
        <w:rPr>
          <w:i/>
          <w:iCs/>
          <w:noProof/>
        </w:rPr>
        <w:t>The Journal for Nurse Practitioners</w:t>
      </w:r>
      <w:r w:rsidRPr="006F6894">
        <w:rPr>
          <w:noProof/>
        </w:rPr>
        <w:t>, </w:t>
      </w:r>
      <w:r w:rsidRPr="006F6894">
        <w:rPr>
          <w:i/>
          <w:iCs/>
          <w:noProof/>
        </w:rPr>
        <w:t>16</w:t>
      </w:r>
      <w:r w:rsidRPr="006F6894">
        <w:rPr>
          <w:noProof/>
        </w:rPr>
        <w:t xml:space="preserve">(1), 60-63. </w:t>
      </w:r>
      <w:hyperlink r:id="rId14" w:history="1">
        <w:r w:rsidRPr="006F6894">
          <w:rPr>
            <w:rStyle w:val="Hyperlink"/>
            <w:noProof/>
          </w:rPr>
          <w:t>https://doi.org/10.1016/j.nurpra.2019.10.017</w:t>
        </w:r>
      </w:hyperlink>
    </w:p>
    <w:p w14:paraId="60522747" w14:textId="77777777" w:rsidR="00887F15" w:rsidRPr="006F6894" w:rsidRDefault="00887F15" w:rsidP="006F6894">
      <w:pPr>
        <w:spacing w:line="480" w:lineRule="auto"/>
        <w:ind w:left="720" w:hanging="720"/>
        <w:rPr>
          <w:noProof/>
        </w:rPr>
      </w:pPr>
      <w:r w:rsidRPr="006F6894">
        <w:rPr>
          <w:noProof/>
        </w:rPr>
        <w:t>HealthyPeople.gov. (202</w:t>
      </w:r>
      <w:r w:rsidRPr="006F6894">
        <w:rPr>
          <w:noProof/>
        </w:rPr>
        <w:t>3</w:t>
      </w:r>
      <w:r w:rsidRPr="006F6894">
        <w:rPr>
          <w:noProof/>
        </w:rPr>
        <w:t xml:space="preserve">). Arthritis, Osteoporosis, and Chronic Back Conditions. </w:t>
      </w:r>
      <w:r w:rsidRPr="006F6894">
        <w:rPr>
          <w:i/>
          <w:noProof/>
        </w:rPr>
        <w:t>HealthyPeople.gov</w:t>
      </w:r>
      <w:r w:rsidRPr="006F6894">
        <w:rPr>
          <w:noProof/>
        </w:rPr>
        <w:t xml:space="preserve">. Retrieved from </w:t>
      </w:r>
      <w:hyperlink r:id="rId15" w:history="1">
        <w:r w:rsidRPr="006F6894">
          <w:rPr>
            <w:rStyle w:val="Hyperlink"/>
            <w:noProof/>
          </w:rPr>
          <w:t>https://www.healthypeople.gov/2020/topics-objectives/topic/Arthritis-Osteoporosis-and-Chronic-Back-Conditions/objectives</w:t>
        </w:r>
      </w:hyperlink>
      <w:r w:rsidRPr="006F6894">
        <w:rPr>
          <w:noProof/>
        </w:rPr>
        <w:t xml:space="preserve"> </w:t>
      </w:r>
    </w:p>
    <w:p w14:paraId="4AB9C029" w14:textId="77777777" w:rsidR="00887F15" w:rsidRPr="006F6894" w:rsidRDefault="00887F15" w:rsidP="006F6894">
      <w:pPr>
        <w:spacing w:line="480" w:lineRule="auto"/>
        <w:ind w:left="720" w:hanging="720"/>
      </w:pPr>
      <w:r w:rsidRPr="006F6894">
        <w:t>Rosen, C. J. (2020, June 21). </w:t>
      </w:r>
      <w:r w:rsidRPr="006F6894">
        <w:rPr>
          <w:i/>
          <w:iCs/>
        </w:rPr>
        <w:t>The epidemiology and pathogenesis of osteoporosis - Endotext - NCBI bookshelf</w:t>
      </w:r>
      <w:r w:rsidRPr="006F6894">
        <w:t>. National Center for Biotechnology Information. </w:t>
      </w:r>
      <w:hyperlink r:id="rId16" w:history="1">
        <w:r w:rsidRPr="006F6894">
          <w:rPr>
            <w:rStyle w:val="Hyperlink"/>
          </w:rPr>
          <w:t>https://www.ncbi.nlm.nih.gov/books/NBK279134/</w:t>
        </w:r>
      </w:hyperlink>
      <w:r w:rsidRPr="006F6894">
        <w:t xml:space="preserve"> </w:t>
      </w:r>
    </w:p>
    <w:p w14:paraId="530DB7EA" w14:textId="032F2438" w:rsidR="00887F15" w:rsidRPr="006F6894" w:rsidRDefault="00887F15" w:rsidP="006F6894">
      <w:pPr>
        <w:spacing w:line="480" w:lineRule="auto"/>
        <w:ind w:left="720" w:hanging="720"/>
      </w:pPr>
      <w:r w:rsidRPr="006F6894">
        <w:t xml:space="preserve">Yen, P. H., &amp; Leasure, A. R. (2019). Use and effectiveness of the teach-back method in patient education and health outcomes. </w:t>
      </w:r>
      <w:r w:rsidRPr="006F6894">
        <w:rPr>
          <w:i/>
          <w:iCs/>
        </w:rPr>
        <w:t>Federal Practitioner</w:t>
      </w:r>
      <w:r w:rsidRPr="006F6894">
        <w:t xml:space="preserve">, </w:t>
      </w:r>
      <w:r w:rsidRPr="006F6894">
        <w:rPr>
          <w:i/>
          <w:iCs/>
        </w:rPr>
        <w:t>36</w:t>
      </w:r>
      <w:r w:rsidRPr="006F6894">
        <w:t>(6), 284-289. Retri</w:t>
      </w:r>
      <w:r w:rsidR="006F6894" w:rsidRPr="006F6894">
        <w:t>e</w:t>
      </w:r>
      <w:r w:rsidRPr="006F6894">
        <w:t xml:space="preserve">ved from </w:t>
      </w:r>
      <w:hyperlink r:id="rId17" w:history="1">
        <w:r w:rsidRPr="006F6894">
          <w:rPr>
            <w:rStyle w:val="Hyperlink"/>
          </w:rPr>
          <w:t>https://www.ncbi.nlm.nih.gov/pmc/articles/PMC6590951/</w:t>
        </w:r>
      </w:hyperlink>
      <w:r w:rsidRPr="006F6894">
        <w:t> </w:t>
      </w:r>
    </w:p>
    <w:p w14:paraId="1D1630D7" w14:textId="77777777" w:rsidR="002A4470" w:rsidRPr="006F6894" w:rsidRDefault="002A4470" w:rsidP="006F6894">
      <w:pPr>
        <w:spacing w:line="480" w:lineRule="auto"/>
        <w:ind w:left="720" w:hanging="720"/>
      </w:pPr>
    </w:p>
    <w:sectPr w:rsidR="002A4470" w:rsidRPr="006F6894" w:rsidSect="00D04777">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59A79" w14:textId="77777777" w:rsidR="00C6050A" w:rsidRDefault="00C6050A" w:rsidP="00C22C33">
      <w:r>
        <w:separator/>
      </w:r>
    </w:p>
  </w:endnote>
  <w:endnote w:type="continuationSeparator" w:id="0">
    <w:p w14:paraId="3EA8DC06" w14:textId="77777777" w:rsidR="00C6050A" w:rsidRDefault="00C6050A" w:rsidP="00C2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93162"/>
      <w:docPartObj>
        <w:docPartGallery w:val="Page Numbers (Bottom of Page)"/>
        <w:docPartUnique/>
      </w:docPartObj>
    </w:sdtPr>
    <w:sdtEndPr>
      <w:rPr>
        <w:noProof/>
      </w:rPr>
    </w:sdtEndPr>
    <w:sdtContent>
      <w:p w14:paraId="45B460A8" w14:textId="1FBE4914" w:rsidR="00C4147F" w:rsidRDefault="00C4147F">
        <w:pPr>
          <w:pStyle w:val="Footer"/>
          <w:jc w:val="center"/>
        </w:pPr>
        <w:r>
          <w:fldChar w:fldCharType="begin"/>
        </w:r>
        <w:r>
          <w:instrText xml:space="preserve"> PAGE   \* MERGEFORMAT </w:instrText>
        </w:r>
        <w:r>
          <w:fldChar w:fldCharType="separate"/>
        </w:r>
        <w:r w:rsidR="00796AAE">
          <w:rPr>
            <w:noProof/>
          </w:rPr>
          <w:t>4</w:t>
        </w:r>
        <w:r>
          <w:rPr>
            <w:noProof/>
          </w:rPr>
          <w:fldChar w:fldCharType="end"/>
        </w:r>
      </w:p>
    </w:sdtContent>
  </w:sdt>
  <w:p w14:paraId="7C481F0C" w14:textId="77777777" w:rsidR="00151DFF" w:rsidRDefault="0015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319C" w14:textId="77777777" w:rsidR="00C4147F" w:rsidRPr="005F01F0" w:rsidRDefault="00C4147F" w:rsidP="00C4147F">
    <w:pPr>
      <w:pStyle w:val="GrandCanyonNumberedList"/>
      <w:numPr>
        <w:ilvl w:val="0"/>
        <w:numId w:val="0"/>
      </w:numPr>
      <w:jc w:val="center"/>
    </w:pPr>
    <w:r>
      <w:t>© 2019</w:t>
    </w:r>
    <w:r w:rsidRPr="005F01F0">
      <w:t>. Grand Canyon University. All Rights Reserved.</w:t>
    </w:r>
  </w:p>
  <w:p w14:paraId="7A45FBBE" w14:textId="77777777" w:rsidR="00C4147F" w:rsidRDefault="00C41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10B0D" w14:textId="77777777" w:rsidR="00C6050A" w:rsidRDefault="00C6050A" w:rsidP="00C22C33">
      <w:r>
        <w:separator/>
      </w:r>
    </w:p>
  </w:footnote>
  <w:footnote w:type="continuationSeparator" w:id="0">
    <w:p w14:paraId="7C6C072F" w14:textId="77777777" w:rsidR="00C6050A" w:rsidRDefault="00C6050A" w:rsidP="00C2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AEC3" w14:textId="341C7244" w:rsidR="00151DFF" w:rsidRDefault="00151DFF" w:rsidP="009D1B96">
    <w:pPr>
      <w:pStyle w:val="Header"/>
      <w:tabs>
        <w:tab w:val="clear" w:pos="4680"/>
        <w:tab w:val="clear" w:pos="9360"/>
        <w:tab w:val="left" w:pos="5820"/>
      </w:tabs>
      <w:ind w:left="-720"/>
    </w:pPr>
    <w:r>
      <w:tab/>
    </w:r>
  </w:p>
  <w:p w14:paraId="4EF41B1F" w14:textId="77777777" w:rsidR="00151DFF" w:rsidRDefault="00151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A719" w14:textId="4283ED03" w:rsidR="00C4147F" w:rsidRDefault="00C4147F">
    <w:pPr>
      <w:pStyle w:val="Header"/>
    </w:pPr>
    <w:r>
      <w:rPr>
        <w:noProof/>
      </w:rPr>
      <w:drawing>
        <wp:inline distT="0" distB="0" distL="0" distR="0" wp14:anchorId="5A2853A5" wp14:editId="581DCCB0">
          <wp:extent cx="30194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solidFill>
                    <a:srgbClr val="FFFFFF"/>
                  </a:solidFill>
                  <a:ln>
                    <a:noFill/>
                  </a:ln>
                </pic:spPr>
              </pic:pic>
            </a:graphicData>
          </a:graphic>
        </wp:inline>
      </w:drawing>
    </w:r>
  </w:p>
  <w:p w14:paraId="0A425D6C" w14:textId="77777777" w:rsidR="00C4147F" w:rsidRDefault="00C41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72B27"/>
    <w:multiLevelType w:val="multilevel"/>
    <w:tmpl w:val="5EA68E3E"/>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83A60CB"/>
    <w:multiLevelType w:val="hybridMultilevel"/>
    <w:tmpl w:val="26064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3278CB"/>
    <w:multiLevelType w:val="hybridMultilevel"/>
    <w:tmpl w:val="5A3040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4578CC"/>
    <w:multiLevelType w:val="multilevel"/>
    <w:tmpl w:val="04C43A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4C150FC8"/>
    <w:multiLevelType w:val="hybridMultilevel"/>
    <w:tmpl w:val="F01286FC"/>
    <w:lvl w:ilvl="0" w:tplc="1C7E83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4D81EC5"/>
    <w:multiLevelType w:val="multilevel"/>
    <w:tmpl w:val="C8F6076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DAA7E24"/>
    <w:multiLevelType w:val="hybridMultilevel"/>
    <w:tmpl w:val="08C4C0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731C3BD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74A22947"/>
    <w:multiLevelType w:val="multilevel"/>
    <w:tmpl w:val="A4CEEE98"/>
    <w:lvl w:ilvl="0">
      <w:start w:val="1"/>
      <w:numFmt w:val="decimal"/>
      <w:pStyle w:val="GrandCanyonNumberedList"/>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4"/>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num>
  <w:num w:numId="6">
    <w:abstractNumId w:val="6"/>
  </w:num>
  <w:num w:numId="7">
    <w:abstractNumId w:val="7"/>
  </w:num>
  <w:num w:numId="8">
    <w:abstractNumId w:val="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wMjcwNTExNbGwtDRQ0lEKTi0uzszPAykwrAUAuBdy9SwAAAA="/>
  </w:docVars>
  <w:rsids>
    <w:rsidRoot w:val="00D55871"/>
    <w:rsid w:val="000042BC"/>
    <w:rsid w:val="000249BC"/>
    <w:rsid w:val="00037EB6"/>
    <w:rsid w:val="00051498"/>
    <w:rsid w:val="000811DB"/>
    <w:rsid w:val="00084D42"/>
    <w:rsid w:val="00091029"/>
    <w:rsid w:val="000C3EDC"/>
    <w:rsid w:val="000C3EFD"/>
    <w:rsid w:val="000F6334"/>
    <w:rsid w:val="00102F21"/>
    <w:rsid w:val="00125D40"/>
    <w:rsid w:val="00151DFF"/>
    <w:rsid w:val="00152480"/>
    <w:rsid w:val="00163CF0"/>
    <w:rsid w:val="001856A9"/>
    <w:rsid w:val="0019006B"/>
    <w:rsid w:val="001C4D42"/>
    <w:rsid w:val="001C4D56"/>
    <w:rsid w:val="001E50B2"/>
    <w:rsid w:val="001E6F30"/>
    <w:rsid w:val="00241B53"/>
    <w:rsid w:val="00256B0D"/>
    <w:rsid w:val="0026526C"/>
    <w:rsid w:val="002848BB"/>
    <w:rsid w:val="0029231A"/>
    <w:rsid w:val="00292968"/>
    <w:rsid w:val="002A4470"/>
    <w:rsid w:val="002A6B19"/>
    <w:rsid w:val="002B12C4"/>
    <w:rsid w:val="002C4A50"/>
    <w:rsid w:val="002D3D94"/>
    <w:rsid w:val="002E0B2B"/>
    <w:rsid w:val="002F6F8D"/>
    <w:rsid w:val="003006BC"/>
    <w:rsid w:val="00326640"/>
    <w:rsid w:val="0035412B"/>
    <w:rsid w:val="00355427"/>
    <w:rsid w:val="00370733"/>
    <w:rsid w:val="00375CF5"/>
    <w:rsid w:val="0039291D"/>
    <w:rsid w:val="0039396D"/>
    <w:rsid w:val="0039402A"/>
    <w:rsid w:val="003A25E6"/>
    <w:rsid w:val="003B610A"/>
    <w:rsid w:val="003B73B6"/>
    <w:rsid w:val="003D3262"/>
    <w:rsid w:val="003F1ADC"/>
    <w:rsid w:val="003F309E"/>
    <w:rsid w:val="004006E1"/>
    <w:rsid w:val="004025A9"/>
    <w:rsid w:val="0040750B"/>
    <w:rsid w:val="00411E9D"/>
    <w:rsid w:val="00424449"/>
    <w:rsid w:val="00450582"/>
    <w:rsid w:val="004A59A3"/>
    <w:rsid w:val="004B7A12"/>
    <w:rsid w:val="004C6ADF"/>
    <w:rsid w:val="004D72F1"/>
    <w:rsid w:val="004F19BA"/>
    <w:rsid w:val="00506D51"/>
    <w:rsid w:val="005259CF"/>
    <w:rsid w:val="00531137"/>
    <w:rsid w:val="0053542F"/>
    <w:rsid w:val="00537A7A"/>
    <w:rsid w:val="00557E62"/>
    <w:rsid w:val="00590C97"/>
    <w:rsid w:val="00593D5C"/>
    <w:rsid w:val="005D24E7"/>
    <w:rsid w:val="005F01F0"/>
    <w:rsid w:val="00606584"/>
    <w:rsid w:val="00615A30"/>
    <w:rsid w:val="00615A63"/>
    <w:rsid w:val="00617418"/>
    <w:rsid w:val="00641FB8"/>
    <w:rsid w:val="00667238"/>
    <w:rsid w:val="00672CEB"/>
    <w:rsid w:val="006B17FE"/>
    <w:rsid w:val="006F6894"/>
    <w:rsid w:val="00703FB4"/>
    <w:rsid w:val="00706F1E"/>
    <w:rsid w:val="00720A3A"/>
    <w:rsid w:val="00721767"/>
    <w:rsid w:val="007225B4"/>
    <w:rsid w:val="00733E4E"/>
    <w:rsid w:val="00744A76"/>
    <w:rsid w:val="007531E0"/>
    <w:rsid w:val="00760AA3"/>
    <w:rsid w:val="00765155"/>
    <w:rsid w:val="00790E4D"/>
    <w:rsid w:val="00794388"/>
    <w:rsid w:val="00796AAE"/>
    <w:rsid w:val="007E69FE"/>
    <w:rsid w:val="00813B2B"/>
    <w:rsid w:val="008160C5"/>
    <w:rsid w:val="00822AEF"/>
    <w:rsid w:val="0082597F"/>
    <w:rsid w:val="00826F17"/>
    <w:rsid w:val="00830041"/>
    <w:rsid w:val="0084609B"/>
    <w:rsid w:val="00857C78"/>
    <w:rsid w:val="0086281D"/>
    <w:rsid w:val="00862E92"/>
    <w:rsid w:val="00880096"/>
    <w:rsid w:val="00887F15"/>
    <w:rsid w:val="008923D7"/>
    <w:rsid w:val="008A1B93"/>
    <w:rsid w:val="008D1A88"/>
    <w:rsid w:val="008E09BA"/>
    <w:rsid w:val="008F3FBD"/>
    <w:rsid w:val="009020B8"/>
    <w:rsid w:val="009165AC"/>
    <w:rsid w:val="009177BC"/>
    <w:rsid w:val="009336F0"/>
    <w:rsid w:val="00942D70"/>
    <w:rsid w:val="0095161D"/>
    <w:rsid w:val="00960802"/>
    <w:rsid w:val="0099072C"/>
    <w:rsid w:val="009B5A43"/>
    <w:rsid w:val="009C4B8E"/>
    <w:rsid w:val="009C6197"/>
    <w:rsid w:val="009D1B96"/>
    <w:rsid w:val="00A24D38"/>
    <w:rsid w:val="00A35CC2"/>
    <w:rsid w:val="00A81D53"/>
    <w:rsid w:val="00A93652"/>
    <w:rsid w:val="00AE4221"/>
    <w:rsid w:val="00AF7FF2"/>
    <w:rsid w:val="00B00F96"/>
    <w:rsid w:val="00B109C9"/>
    <w:rsid w:val="00B33234"/>
    <w:rsid w:val="00B54D0E"/>
    <w:rsid w:val="00B57621"/>
    <w:rsid w:val="00B823C4"/>
    <w:rsid w:val="00BB39FF"/>
    <w:rsid w:val="00BF3F81"/>
    <w:rsid w:val="00C0527E"/>
    <w:rsid w:val="00C1712F"/>
    <w:rsid w:val="00C22C33"/>
    <w:rsid w:val="00C329E1"/>
    <w:rsid w:val="00C4147F"/>
    <w:rsid w:val="00C41F02"/>
    <w:rsid w:val="00C45F91"/>
    <w:rsid w:val="00C6050A"/>
    <w:rsid w:val="00C60C95"/>
    <w:rsid w:val="00C6282B"/>
    <w:rsid w:val="00C70E10"/>
    <w:rsid w:val="00C95608"/>
    <w:rsid w:val="00CB025F"/>
    <w:rsid w:val="00CB6F61"/>
    <w:rsid w:val="00CC2FDC"/>
    <w:rsid w:val="00CD2524"/>
    <w:rsid w:val="00CF182D"/>
    <w:rsid w:val="00D04777"/>
    <w:rsid w:val="00D1569A"/>
    <w:rsid w:val="00D21D72"/>
    <w:rsid w:val="00D33864"/>
    <w:rsid w:val="00D34FE5"/>
    <w:rsid w:val="00D55871"/>
    <w:rsid w:val="00D65225"/>
    <w:rsid w:val="00D72BA1"/>
    <w:rsid w:val="00D83CC1"/>
    <w:rsid w:val="00D92556"/>
    <w:rsid w:val="00DE39C7"/>
    <w:rsid w:val="00DE6E9F"/>
    <w:rsid w:val="00DF2B50"/>
    <w:rsid w:val="00DF5914"/>
    <w:rsid w:val="00E33843"/>
    <w:rsid w:val="00E425E7"/>
    <w:rsid w:val="00E51D90"/>
    <w:rsid w:val="00E51E56"/>
    <w:rsid w:val="00E74794"/>
    <w:rsid w:val="00E75319"/>
    <w:rsid w:val="00EB5DD1"/>
    <w:rsid w:val="00ED2B95"/>
    <w:rsid w:val="00EE7911"/>
    <w:rsid w:val="00F111C1"/>
    <w:rsid w:val="00F4621A"/>
    <w:rsid w:val="00F623D0"/>
    <w:rsid w:val="00F6619C"/>
    <w:rsid w:val="00F66AB3"/>
    <w:rsid w:val="00F70FDD"/>
    <w:rsid w:val="00F775D9"/>
    <w:rsid w:val="00F81EF9"/>
    <w:rsid w:val="00FD2CF7"/>
    <w:rsid w:val="00FD6E54"/>
    <w:rsid w:val="00FF1E1B"/>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47ADF0"/>
  <w15:docId w15:val="{456E1A7E-1A32-4298-A365-53EA083C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871"/>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ndCanyonNumberedList">
    <w:name w:val="Grand Canyon Numbered List"/>
    <w:basedOn w:val="Normal"/>
    <w:link w:val="GrandCanyonNumberedListChar"/>
    <w:rsid w:val="00D55871"/>
    <w:pPr>
      <w:numPr>
        <w:numId w:val="1"/>
      </w:numPr>
    </w:pPr>
  </w:style>
  <w:style w:type="paragraph" w:customStyle="1" w:styleId="GrandCanyonBodyText">
    <w:name w:val="Grand Canyon Body Text"/>
    <w:basedOn w:val="Normal"/>
    <w:link w:val="GrandCanyonBodyTextChar"/>
    <w:rsid w:val="00D55871"/>
    <w:pPr>
      <w:widowControl w:val="0"/>
      <w:tabs>
        <w:tab w:val="left" w:pos="360"/>
      </w:tabs>
      <w:spacing w:after="240"/>
      <w:ind w:firstLine="720"/>
    </w:pPr>
    <w:rPr>
      <w:rFonts w:cs="Lucida Sans Unicode"/>
      <w:bCs/>
      <w:kern w:val="32"/>
      <w:szCs w:val="40"/>
    </w:rPr>
  </w:style>
  <w:style w:type="character" w:customStyle="1" w:styleId="GrandCanyonBodyTextChar">
    <w:name w:val="Grand Canyon Body Text Char"/>
    <w:link w:val="GrandCanyonBodyText"/>
    <w:locked/>
    <w:rsid w:val="00D55871"/>
    <w:rPr>
      <w:rFonts w:ascii="Times New Roman" w:hAnsi="Times New Roman" w:cs="Lucida Sans Unicode"/>
      <w:bCs/>
      <w:kern w:val="32"/>
      <w:sz w:val="40"/>
      <w:szCs w:val="40"/>
    </w:rPr>
  </w:style>
  <w:style w:type="table" w:styleId="TableGrid">
    <w:name w:val="Table Grid"/>
    <w:basedOn w:val="TableNormal"/>
    <w:uiPriority w:val="59"/>
    <w:rsid w:val="00D558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55871"/>
    <w:rPr>
      <w:sz w:val="20"/>
      <w:szCs w:val="20"/>
    </w:rPr>
  </w:style>
  <w:style w:type="character" w:customStyle="1" w:styleId="CommentTextChar">
    <w:name w:val="Comment Text Char"/>
    <w:link w:val="CommentText"/>
    <w:uiPriority w:val="99"/>
    <w:semiHidden/>
    <w:locked/>
    <w:rsid w:val="00D55871"/>
    <w:rPr>
      <w:rFonts w:ascii="Times New Roman" w:hAnsi="Times New Roman" w:cs="Times New Roman"/>
      <w:sz w:val="20"/>
      <w:szCs w:val="20"/>
    </w:rPr>
  </w:style>
  <w:style w:type="character" w:customStyle="1" w:styleId="GrandCanyonNumberedListChar">
    <w:name w:val="Grand Canyon Numbered List Char"/>
    <w:link w:val="GrandCanyonNumberedList"/>
    <w:locked/>
    <w:rsid w:val="00E74794"/>
    <w:rPr>
      <w:rFonts w:ascii="Times New Roman" w:hAnsi="Times New Roman" w:cs="Times New Roman"/>
      <w:sz w:val="24"/>
      <w:szCs w:val="24"/>
    </w:rPr>
  </w:style>
  <w:style w:type="paragraph" w:styleId="ListParagraph">
    <w:name w:val="List Paragraph"/>
    <w:basedOn w:val="Normal"/>
    <w:uiPriority w:val="34"/>
    <w:qFormat/>
    <w:rsid w:val="00E74794"/>
    <w:pPr>
      <w:ind w:left="720"/>
      <w:contextualSpacing/>
    </w:pPr>
  </w:style>
  <w:style w:type="paragraph" w:styleId="BalloonText">
    <w:name w:val="Balloon Text"/>
    <w:basedOn w:val="Normal"/>
    <w:link w:val="BalloonTextChar"/>
    <w:uiPriority w:val="99"/>
    <w:semiHidden/>
    <w:unhideWhenUsed/>
    <w:rsid w:val="00C22C33"/>
    <w:rPr>
      <w:rFonts w:ascii="Tahoma" w:hAnsi="Tahoma" w:cs="Tahoma"/>
      <w:sz w:val="16"/>
      <w:szCs w:val="16"/>
    </w:rPr>
  </w:style>
  <w:style w:type="character" w:customStyle="1" w:styleId="BalloonTextChar">
    <w:name w:val="Balloon Text Char"/>
    <w:link w:val="BalloonText"/>
    <w:uiPriority w:val="99"/>
    <w:semiHidden/>
    <w:locked/>
    <w:rsid w:val="00C22C33"/>
    <w:rPr>
      <w:rFonts w:ascii="Tahoma" w:hAnsi="Tahoma" w:cs="Tahoma"/>
      <w:sz w:val="16"/>
      <w:szCs w:val="16"/>
    </w:rPr>
  </w:style>
  <w:style w:type="paragraph" w:styleId="Header">
    <w:name w:val="header"/>
    <w:basedOn w:val="Normal"/>
    <w:link w:val="HeaderChar"/>
    <w:uiPriority w:val="99"/>
    <w:unhideWhenUsed/>
    <w:rsid w:val="00C22C33"/>
    <w:pPr>
      <w:tabs>
        <w:tab w:val="center" w:pos="4680"/>
        <w:tab w:val="right" w:pos="9360"/>
      </w:tabs>
    </w:pPr>
  </w:style>
  <w:style w:type="character" w:customStyle="1" w:styleId="HeaderChar">
    <w:name w:val="Header Char"/>
    <w:link w:val="Header"/>
    <w:uiPriority w:val="99"/>
    <w:locked/>
    <w:rsid w:val="00C22C33"/>
    <w:rPr>
      <w:rFonts w:ascii="Times New Roman" w:hAnsi="Times New Roman" w:cs="Times New Roman"/>
      <w:sz w:val="24"/>
      <w:szCs w:val="24"/>
    </w:rPr>
  </w:style>
  <w:style w:type="paragraph" w:styleId="Footer">
    <w:name w:val="footer"/>
    <w:basedOn w:val="Normal"/>
    <w:link w:val="FooterChar"/>
    <w:uiPriority w:val="99"/>
    <w:unhideWhenUsed/>
    <w:rsid w:val="00C22C33"/>
    <w:pPr>
      <w:tabs>
        <w:tab w:val="center" w:pos="4680"/>
        <w:tab w:val="right" w:pos="9360"/>
      </w:tabs>
    </w:pPr>
  </w:style>
  <w:style w:type="character" w:customStyle="1" w:styleId="FooterChar">
    <w:name w:val="Footer Char"/>
    <w:link w:val="Footer"/>
    <w:uiPriority w:val="99"/>
    <w:locked/>
    <w:rsid w:val="00C22C33"/>
    <w:rPr>
      <w:rFonts w:ascii="Times New Roman" w:hAnsi="Times New Roman" w:cs="Times New Roman"/>
      <w:sz w:val="24"/>
      <w:szCs w:val="24"/>
    </w:rPr>
  </w:style>
  <w:style w:type="character" w:styleId="CommentReference">
    <w:name w:val="annotation reference"/>
    <w:uiPriority w:val="99"/>
    <w:semiHidden/>
    <w:unhideWhenUsed/>
    <w:rsid w:val="00D33864"/>
    <w:rPr>
      <w:rFonts w:cs="Times New Roman"/>
      <w:sz w:val="16"/>
      <w:szCs w:val="16"/>
    </w:rPr>
  </w:style>
  <w:style w:type="paragraph" w:styleId="CommentSubject">
    <w:name w:val="annotation subject"/>
    <w:basedOn w:val="CommentText"/>
    <w:next w:val="CommentText"/>
    <w:link w:val="CommentSubjectChar"/>
    <w:uiPriority w:val="99"/>
    <w:semiHidden/>
    <w:unhideWhenUsed/>
    <w:rsid w:val="00D33864"/>
    <w:rPr>
      <w:b/>
      <w:bCs/>
    </w:rPr>
  </w:style>
  <w:style w:type="character" w:customStyle="1" w:styleId="CommentSubjectChar">
    <w:name w:val="Comment Subject Char"/>
    <w:link w:val="CommentSubject"/>
    <w:uiPriority w:val="99"/>
    <w:semiHidden/>
    <w:locked/>
    <w:rsid w:val="00D33864"/>
    <w:rPr>
      <w:rFonts w:ascii="Times New Roman" w:hAnsi="Times New Roman" w:cs="Times New Roman"/>
      <w:b/>
      <w:bCs/>
      <w:sz w:val="20"/>
      <w:szCs w:val="20"/>
    </w:rPr>
  </w:style>
  <w:style w:type="character" w:styleId="Hyperlink">
    <w:name w:val="Hyperlink"/>
    <w:basedOn w:val="DefaultParagraphFont"/>
    <w:uiPriority w:val="99"/>
    <w:unhideWhenUsed/>
    <w:rsid w:val="00E51D90"/>
    <w:rPr>
      <w:color w:val="0000FF" w:themeColor="hyperlink"/>
      <w:u w:val="single"/>
    </w:rPr>
  </w:style>
  <w:style w:type="character" w:styleId="UnresolvedMention">
    <w:name w:val="Unresolved Mention"/>
    <w:basedOn w:val="DefaultParagraphFont"/>
    <w:uiPriority w:val="99"/>
    <w:semiHidden/>
    <w:unhideWhenUsed/>
    <w:rsid w:val="00E51D90"/>
    <w:rPr>
      <w:color w:val="605E5C"/>
      <w:shd w:val="clear" w:color="auto" w:fill="E1DFDD"/>
    </w:rPr>
  </w:style>
  <w:style w:type="table" w:customStyle="1" w:styleId="TableGrid1">
    <w:name w:val="Table Grid1"/>
    <w:basedOn w:val="TableNormal"/>
    <w:next w:val="TableGrid"/>
    <w:uiPriority w:val="39"/>
    <w:rsid w:val="00084D4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21615">
      <w:bodyDiv w:val="1"/>
      <w:marLeft w:val="0"/>
      <w:marRight w:val="0"/>
      <w:marTop w:val="0"/>
      <w:marBottom w:val="0"/>
      <w:divBdr>
        <w:top w:val="none" w:sz="0" w:space="0" w:color="auto"/>
        <w:left w:val="none" w:sz="0" w:space="0" w:color="auto"/>
        <w:bottom w:val="none" w:sz="0" w:space="0" w:color="auto"/>
        <w:right w:val="none" w:sz="0" w:space="0" w:color="auto"/>
      </w:divBdr>
    </w:div>
    <w:div w:id="205561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c.gcumedia.com/nrs427vn/community-and-public-health-the-future-of-health-care/v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c.gov/nchs/healthy_people/hp2020.htm" TargetMode="External"/><Relationship Id="rId17" Type="http://schemas.openxmlformats.org/officeDocument/2006/relationships/hyperlink" Target="https://www.ncbi.nlm.nih.gov/pmc/articles/PMC6590951/" TargetMode="External"/><Relationship Id="rId2" Type="http://schemas.openxmlformats.org/officeDocument/2006/relationships/customXml" Target="../customXml/item2.xml"/><Relationship Id="rId16" Type="http://schemas.openxmlformats.org/officeDocument/2006/relationships/hyperlink" Target="https://www.ncbi.nlm.nih.gov/books/NBK279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falls/facts.html" TargetMode="External"/><Relationship Id="rId5" Type="http://schemas.openxmlformats.org/officeDocument/2006/relationships/numbering" Target="numbering.xml"/><Relationship Id="rId15" Type="http://schemas.openxmlformats.org/officeDocument/2006/relationships/hyperlink" Target="https://www.healthypeople.gov/2020/topics-objectives/topic/Arthritis-Osteoporosis-and-Chronic-Back-Conditions/objectiv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nurpra.2019.10.017"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2549;#NRS-427V|8daab730-d26c-4ecc-a149-ce1e06505c1f;#72;#Course Development|533941c5-78f9-4b70-9343-0feaf09f5b89;#3;#Academic Program and Course Development|59abafec-cbf5-4238-a796-a3b74278f4db;#2;#Internal|98311b30-b9e9-4d4f-9f64-0688c0d4a234;#1;#Normal|581d4866-74cc-43f1-bef1-bb304cbfeaa5]]></LongProp>
</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7BC6A-A3CB-47D1-B7BC-7F80653E0364}">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42268942-4F57-4459-81B1-2F0D76024F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D596AD5-D1D2-4387-B19B-D9950D20DBF1}">
  <ds:schemaRefs>
    <ds:schemaRef ds:uri="http://schemas.microsoft.com/sharepoint/v3/contenttype/forms"/>
  </ds:schemaRefs>
</ds:datastoreItem>
</file>

<file path=customXml/itemProps4.xml><?xml version="1.0" encoding="utf-8"?>
<ds:datastoreItem xmlns:ds="http://schemas.openxmlformats.org/officeDocument/2006/customXml" ds:itemID="{8F0C32D8-883B-432B-AD4E-ABAFD1F0C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14</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ljaurigue</dc:creator>
  <cp:lastModifiedBy>office</cp:lastModifiedBy>
  <cp:revision>119</cp:revision>
  <dcterms:created xsi:type="dcterms:W3CDTF">2023-03-09T09:20:00Z</dcterms:created>
  <dcterms:modified xsi:type="dcterms:W3CDTF">2023-03-09T19:12:00Z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ubject">
    <vt:lpwstr>2549;#NRS-427V|8daab730-d26c-4ecc-a149-ce1e06505c1f</vt:lpwstr>
  </property>
  <property fmtid="{D5CDD505-2E9C-101B-9397-08002B2CF9AE}" pid="3" name="display_urn:schemas-microsoft-com:office:office#Editor">
    <vt:lpwstr>Erin Justice</vt:lpwstr>
  </property>
  <property fmtid="{D5CDD505-2E9C-101B-9397-08002B2CF9AE}" pid="4" name="DocumentType">
    <vt:lpwstr>72;#Course Development|533941c5-78f9-4b70-9343-0feaf09f5b89</vt:lpwstr>
  </property>
  <property fmtid="{D5CDD505-2E9C-101B-9397-08002B2CF9AE}" pid="5" name="TaxKeyword">
    <vt:lpwstr/>
  </property>
  <property fmtid="{D5CDD505-2E9C-101B-9397-08002B2CF9AE}" pid="6" name="DocumentDepartment">
    <vt:lpwstr>3;#Academic Program and Course Development|59abafec-cbf5-4238-a796-a3b74278f4db</vt:lpwstr>
  </property>
  <property fmtid="{D5CDD505-2E9C-101B-9397-08002B2CF9AE}" pid="7" name="display_urn:schemas-microsoft-com:office:office#Author">
    <vt:lpwstr>Erin Justice</vt:lpwstr>
  </property>
  <property fmtid="{D5CDD505-2E9C-101B-9397-08002B2CF9AE}" pid="8" name="DocumentBusinessValue">
    <vt:lpwstr>1;#Normal|581d4866-74cc-43f1-bef1-bb304cbfeaa5</vt:lpwstr>
  </property>
  <property fmtid="{D5CDD505-2E9C-101B-9397-08002B2CF9AE}" pid="9" name="SecurityClassification">
    <vt:lpwstr>2;#Internal|98311b30-b9e9-4d4f-9f64-0688c0d4a234</vt:lpwstr>
  </property>
  <property fmtid="{D5CDD505-2E9C-101B-9397-08002B2CF9AE}" pid="10" name="ContentTypeId">
    <vt:lpwstr>0x010100911D7BF13958C64483E7E107A08507EA</vt:lpwstr>
  </property>
  <property fmtid="{D5CDD505-2E9C-101B-9397-08002B2CF9AE}" pid="11" name="DocumentStatus">
    <vt:lpwstr/>
  </property>
  <property fmtid="{D5CDD505-2E9C-101B-9397-08002B2CF9AE}" pid="12" name="DocumentCategory">
    <vt:lpwstr/>
  </property>
  <property fmtid="{D5CDD505-2E9C-101B-9397-08002B2CF9AE}" pid="13" name="Order">
    <vt:r8>809800</vt:r8>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ies>
</file>