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ED" w:rsidRPr="0076294A" w:rsidRDefault="00871AED" w:rsidP="00B90204">
      <w:pPr>
        <w:spacing w:before="100" w:beforeAutospacing="1" w:after="100" w:afterAutospacing="1" w:line="480" w:lineRule="auto"/>
        <w:rPr>
          <w:rFonts w:ascii="Times New Roman" w:hAnsi="Times New Roman" w:cs="Times New Roman"/>
          <w:sz w:val="24"/>
          <w:szCs w:val="24"/>
        </w:rPr>
      </w:pPr>
    </w:p>
    <w:p w:rsidR="00871AED" w:rsidRPr="0076294A" w:rsidRDefault="00871AED" w:rsidP="00B90204">
      <w:pPr>
        <w:spacing w:before="100" w:beforeAutospacing="1" w:after="100" w:afterAutospacing="1" w:line="480" w:lineRule="auto"/>
        <w:rPr>
          <w:rFonts w:ascii="Times New Roman" w:hAnsi="Times New Roman" w:cs="Times New Roman"/>
          <w:sz w:val="24"/>
          <w:szCs w:val="24"/>
        </w:rPr>
      </w:pPr>
    </w:p>
    <w:p w:rsidR="00871AED" w:rsidRPr="0076294A" w:rsidRDefault="00871AED" w:rsidP="00B90204">
      <w:pPr>
        <w:spacing w:before="100" w:beforeAutospacing="1" w:after="100" w:afterAutospacing="1" w:line="480" w:lineRule="auto"/>
        <w:rPr>
          <w:rFonts w:ascii="Times New Roman" w:hAnsi="Times New Roman" w:cs="Times New Roman"/>
          <w:sz w:val="24"/>
          <w:szCs w:val="24"/>
        </w:rPr>
      </w:pPr>
    </w:p>
    <w:p w:rsidR="00871AED" w:rsidRPr="0076294A" w:rsidRDefault="00871AED" w:rsidP="00F779F6">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Synthesis: Naltrexone Therapy in Reducing the Relapse Rate in Patients with Opioid Use Dependency</w:t>
      </w:r>
    </w:p>
    <w:p w:rsidR="00871AED" w:rsidRPr="0076294A" w:rsidRDefault="00871AED" w:rsidP="00F779F6">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By [Name]</w:t>
      </w:r>
    </w:p>
    <w:p w:rsidR="00871AED" w:rsidRPr="0076294A" w:rsidRDefault="00871AED" w:rsidP="00B90204">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Course</w:t>
      </w:r>
    </w:p>
    <w:p w:rsidR="00871AED" w:rsidRPr="0076294A" w:rsidRDefault="00871AED" w:rsidP="00B90204">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Professor's Name</w:t>
      </w:r>
    </w:p>
    <w:p w:rsidR="00871AED" w:rsidRPr="0076294A" w:rsidRDefault="00871AED" w:rsidP="00B90204">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Institution</w:t>
      </w:r>
    </w:p>
    <w:p w:rsidR="00871AED" w:rsidRPr="0076294A" w:rsidRDefault="00871AED" w:rsidP="00B90204">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Location of Institution</w:t>
      </w:r>
    </w:p>
    <w:p w:rsidR="00871AED" w:rsidRPr="0076294A" w:rsidRDefault="00871AED" w:rsidP="00F779F6">
      <w:pPr>
        <w:spacing w:before="100" w:beforeAutospacing="1" w:after="100" w:afterAutospacing="1" w:line="480" w:lineRule="auto"/>
        <w:jc w:val="center"/>
        <w:rPr>
          <w:rFonts w:ascii="Times New Roman" w:hAnsi="Times New Roman" w:cs="Times New Roman"/>
          <w:sz w:val="24"/>
          <w:szCs w:val="24"/>
        </w:rPr>
      </w:pPr>
      <w:r w:rsidRPr="0076294A">
        <w:rPr>
          <w:rFonts w:ascii="Times New Roman" w:hAnsi="Times New Roman" w:cs="Times New Roman"/>
          <w:sz w:val="24"/>
          <w:szCs w:val="24"/>
        </w:rPr>
        <w:t>Date</w:t>
      </w:r>
    </w:p>
    <w:p w:rsidR="00871AED" w:rsidRPr="0076294A" w:rsidRDefault="00871AED" w:rsidP="00B90204">
      <w:pPr>
        <w:spacing w:before="100" w:beforeAutospacing="1" w:after="100" w:afterAutospacing="1" w:line="480" w:lineRule="auto"/>
        <w:ind w:firstLine="720"/>
        <w:jc w:val="center"/>
        <w:rPr>
          <w:rFonts w:ascii="Times New Roman" w:hAnsi="Times New Roman" w:cs="Times New Roman"/>
          <w:b/>
          <w:sz w:val="24"/>
          <w:szCs w:val="24"/>
        </w:rPr>
      </w:pPr>
    </w:p>
    <w:p w:rsidR="00760512" w:rsidRPr="0076294A" w:rsidRDefault="00760512" w:rsidP="00B90204">
      <w:pPr>
        <w:spacing w:before="100" w:beforeAutospacing="1" w:after="100" w:afterAutospacing="1" w:line="480" w:lineRule="auto"/>
        <w:ind w:firstLine="720"/>
        <w:jc w:val="center"/>
        <w:rPr>
          <w:rFonts w:ascii="Times New Roman" w:hAnsi="Times New Roman" w:cs="Times New Roman"/>
          <w:b/>
          <w:sz w:val="24"/>
          <w:szCs w:val="24"/>
        </w:rPr>
      </w:pPr>
    </w:p>
    <w:p w:rsidR="00760512" w:rsidRPr="0076294A" w:rsidRDefault="00760512" w:rsidP="00B90204">
      <w:pPr>
        <w:spacing w:before="100" w:beforeAutospacing="1" w:after="100" w:afterAutospacing="1" w:line="480" w:lineRule="auto"/>
        <w:ind w:firstLine="720"/>
        <w:jc w:val="center"/>
        <w:rPr>
          <w:rFonts w:ascii="Times New Roman" w:hAnsi="Times New Roman" w:cs="Times New Roman"/>
          <w:b/>
          <w:sz w:val="24"/>
          <w:szCs w:val="24"/>
        </w:rPr>
      </w:pPr>
    </w:p>
    <w:p w:rsidR="00760512" w:rsidRPr="0076294A" w:rsidRDefault="00760512" w:rsidP="00B90204">
      <w:pPr>
        <w:spacing w:before="100" w:beforeAutospacing="1" w:after="100" w:afterAutospacing="1" w:line="480" w:lineRule="auto"/>
        <w:ind w:firstLine="720"/>
        <w:jc w:val="center"/>
        <w:rPr>
          <w:rFonts w:ascii="Times New Roman" w:hAnsi="Times New Roman" w:cs="Times New Roman"/>
          <w:b/>
          <w:sz w:val="24"/>
          <w:szCs w:val="24"/>
        </w:rPr>
      </w:pPr>
    </w:p>
    <w:p w:rsidR="00871AED" w:rsidRPr="0076294A" w:rsidRDefault="00871AED"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lastRenderedPageBreak/>
        <w:t>Synthesis: Naltrexone Therapy in Reducing the Relapse Rate in Patients with Opioid Use Dependency</w:t>
      </w:r>
    </w:p>
    <w:p w:rsidR="00C219AF" w:rsidRPr="0076294A" w:rsidRDefault="005F16C0"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 xml:space="preserve">Introduction </w:t>
      </w:r>
    </w:p>
    <w:p w:rsidR="00C902A7"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Opioid use disorder (OUD) and opioid overdose among OUD patients are the leading causes of death in the United States. The National Institute on Drug Abuse (NIDA) documented more than </w:t>
      </w:r>
      <w:r w:rsidR="00171188" w:rsidRPr="0076294A">
        <w:rPr>
          <w:rFonts w:ascii="Times New Roman" w:hAnsi="Times New Roman" w:cs="Times New Roman"/>
          <w:sz w:val="24"/>
          <w:szCs w:val="24"/>
        </w:rPr>
        <w:t xml:space="preserve">44,000 deaths in 2017, 47,000 in 2018, and </w:t>
      </w:r>
      <w:r w:rsidRPr="0076294A">
        <w:rPr>
          <w:rFonts w:ascii="Times New Roman" w:hAnsi="Times New Roman" w:cs="Times New Roman"/>
          <w:sz w:val="24"/>
          <w:szCs w:val="24"/>
        </w:rPr>
        <w:t xml:space="preserve">50,000 opioid </w:t>
      </w:r>
      <w:r w:rsidRPr="0076294A">
        <w:rPr>
          <w:rFonts w:ascii="Times New Roman" w:hAnsi="Times New Roman" w:cs="Times New Roman"/>
          <w:sz w:val="24"/>
          <w:szCs w:val="24"/>
        </w:rPr>
        <w:t>deaths in 2019, leading to the listing of opioid overdose as a national crisis</w:t>
      </w:r>
      <w:r w:rsidR="00171188" w:rsidRPr="0076294A">
        <w:rPr>
          <w:rFonts w:ascii="Times New Roman" w:hAnsi="Times New Roman" w:cs="Times New Roman"/>
          <w:sz w:val="24"/>
          <w:szCs w:val="24"/>
        </w:rPr>
        <w:t xml:space="preserve"> in 2018</w:t>
      </w:r>
      <w:r w:rsidR="00871AED" w:rsidRPr="0076294A">
        <w:rPr>
          <w:rFonts w:ascii="Times New Roman" w:hAnsi="Times New Roman" w:cs="Times New Roman"/>
          <w:sz w:val="24"/>
          <w:szCs w:val="24"/>
        </w:rPr>
        <w:t xml:space="preserve"> (Rasmussen et al, 2019)</w:t>
      </w:r>
      <w:r w:rsidRPr="0076294A">
        <w:rPr>
          <w:rFonts w:ascii="Times New Roman" w:hAnsi="Times New Roman" w:cs="Times New Roman"/>
          <w:sz w:val="24"/>
          <w:szCs w:val="24"/>
        </w:rPr>
        <w:t>. The federation outlines the economic burden resulting from OUD to be more than $75 billion annually, inclusive of medical expenses, unproductiveness, and addiction reha</w:t>
      </w:r>
      <w:r w:rsidRPr="0076294A">
        <w:rPr>
          <w:rFonts w:ascii="Times New Roman" w:hAnsi="Times New Roman" w:cs="Times New Roman"/>
          <w:sz w:val="24"/>
          <w:szCs w:val="24"/>
        </w:rPr>
        <w:t>bilitation</w:t>
      </w:r>
      <w:r w:rsidR="00871AED" w:rsidRPr="0076294A">
        <w:rPr>
          <w:rFonts w:ascii="Times New Roman" w:hAnsi="Times New Roman" w:cs="Times New Roman"/>
          <w:sz w:val="24"/>
          <w:szCs w:val="24"/>
        </w:rPr>
        <w:t xml:space="preserve"> (Rasmussen et al, 2019)</w:t>
      </w:r>
      <w:r w:rsidRPr="0076294A">
        <w:rPr>
          <w:rFonts w:ascii="Times New Roman" w:hAnsi="Times New Roman" w:cs="Times New Roman"/>
          <w:sz w:val="24"/>
          <w:szCs w:val="24"/>
        </w:rPr>
        <w:t>. N</w:t>
      </w:r>
      <w:r w:rsidR="00562645" w:rsidRPr="0076294A">
        <w:rPr>
          <w:rFonts w:ascii="Times New Roman" w:hAnsi="Times New Roman" w:cs="Times New Roman"/>
          <w:sz w:val="24"/>
          <w:szCs w:val="24"/>
        </w:rPr>
        <w:t>IDA outlines that productivity loss resulting from opioid addiction results in more than 50 workdays annually, translating to more than</w:t>
      </w:r>
      <w:r w:rsidRPr="0076294A">
        <w:rPr>
          <w:rFonts w:ascii="Times New Roman" w:hAnsi="Times New Roman" w:cs="Times New Roman"/>
          <w:sz w:val="24"/>
          <w:szCs w:val="24"/>
        </w:rPr>
        <w:t xml:space="preserve"> $21 billion loss and more than $40 billion spent on opioid use rehabilitation</w:t>
      </w:r>
      <w:r w:rsidR="00C62007" w:rsidRPr="0076294A">
        <w:rPr>
          <w:rFonts w:ascii="Times New Roman" w:hAnsi="Times New Roman" w:cs="Times New Roman"/>
          <w:sz w:val="24"/>
          <w:szCs w:val="24"/>
        </w:rPr>
        <w:t xml:space="preserve"> (Blanco &amp; Volko, 2019)</w:t>
      </w:r>
      <w:r w:rsidRPr="0076294A">
        <w:rPr>
          <w:rFonts w:ascii="Times New Roman" w:hAnsi="Times New Roman" w:cs="Times New Roman"/>
          <w:sz w:val="24"/>
          <w:szCs w:val="24"/>
        </w:rPr>
        <w:t>.</w:t>
      </w:r>
    </w:p>
    <w:p w:rsidR="00240330"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Currently, numerous medicati</w:t>
      </w:r>
      <w:r w:rsidRPr="0076294A">
        <w:rPr>
          <w:rFonts w:ascii="Times New Roman" w:hAnsi="Times New Roman" w:cs="Times New Roman"/>
          <w:sz w:val="24"/>
          <w:szCs w:val="24"/>
        </w:rPr>
        <w:t>ons have been developed and approved by the food and drugs administration board (FDA)</w:t>
      </w:r>
      <w:r w:rsidR="00AF7ABC" w:rsidRPr="0076294A">
        <w:rPr>
          <w:rFonts w:ascii="Times New Roman" w:hAnsi="Times New Roman" w:cs="Times New Roman"/>
          <w:sz w:val="24"/>
          <w:szCs w:val="24"/>
        </w:rPr>
        <w:t xml:space="preserve"> to aid patients with opioid dependency- a highly relapsing mental illness linked to opioid overdose</w:t>
      </w:r>
      <w:r w:rsidR="001C3B90" w:rsidRPr="0076294A">
        <w:rPr>
          <w:rFonts w:ascii="Times New Roman" w:hAnsi="Times New Roman" w:cs="Times New Roman"/>
          <w:sz w:val="24"/>
          <w:szCs w:val="24"/>
        </w:rPr>
        <w:t xml:space="preserve"> and death</w:t>
      </w:r>
      <w:r w:rsidR="00AF7ABC" w:rsidRPr="0076294A">
        <w:rPr>
          <w:rFonts w:ascii="Times New Roman" w:hAnsi="Times New Roman" w:cs="Times New Roman"/>
          <w:sz w:val="24"/>
          <w:szCs w:val="24"/>
        </w:rPr>
        <w:t>.</w:t>
      </w:r>
      <w:r w:rsidR="001C3B90" w:rsidRPr="0076294A">
        <w:rPr>
          <w:rFonts w:ascii="Times New Roman" w:hAnsi="Times New Roman" w:cs="Times New Roman"/>
          <w:sz w:val="24"/>
          <w:szCs w:val="24"/>
        </w:rPr>
        <w:t xml:space="preserve"> </w:t>
      </w:r>
      <w:r w:rsidR="00BD4F51" w:rsidRPr="0076294A">
        <w:rPr>
          <w:rFonts w:ascii="Times New Roman" w:hAnsi="Times New Roman" w:cs="Times New Roman"/>
          <w:sz w:val="24"/>
          <w:szCs w:val="24"/>
        </w:rPr>
        <w:t xml:space="preserve">As Opheim et al. (2016) outline, individuals suffering from opioid dependence globally were at 16 million by the end of 2020. </w:t>
      </w:r>
      <w:r w:rsidR="009C53CB" w:rsidRPr="0076294A">
        <w:rPr>
          <w:rFonts w:ascii="Times New Roman" w:hAnsi="Times New Roman" w:cs="Times New Roman"/>
          <w:sz w:val="24"/>
          <w:szCs w:val="24"/>
        </w:rPr>
        <w:t>Numerous interventions have been partaken in curbing the illnesses, such as making opioid medication accessible to all. Multiple medications such as Naltrexone</w:t>
      </w:r>
      <w:r w:rsidR="00171188" w:rsidRPr="0076294A">
        <w:rPr>
          <w:rFonts w:ascii="Times New Roman" w:hAnsi="Times New Roman" w:cs="Times New Roman"/>
          <w:sz w:val="24"/>
          <w:szCs w:val="24"/>
        </w:rPr>
        <w:t xml:space="preserve"> (XR-NTX)</w:t>
      </w:r>
      <w:r w:rsidR="009C53CB" w:rsidRPr="0076294A">
        <w:rPr>
          <w:rFonts w:ascii="Times New Roman" w:hAnsi="Times New Roman" w:cs="Times New Roman"/>
          <w:sz w:val="24"/>
          <w:szCs w:val="24"/>
        </w:rPr>
        <w:t xml:space="preserve"> have been made readily available to the population as injectable doses and implants offer relief to patients with opioid dependency syndrome</w:t>
      </w:r>
      <w:r w:rsidR="00871AED" w:rsidRPr="0076294A">
        <w:rPr>
          <w:rFonts w:ascii="Times New Roman" w:hAnsi="Times New Roman" w:cs="Times New Roman"/>
          <w:sz w:val="24"/>
          <w:szCs w:val="24"/>
        </w:rPr>
        <w:t xml:space="preserve"> (Opheim et al, 2021)</w:t>
      </w:r>
      <w:r w:rsidR="009C53CB" w:rsidRPr="0076294A">
        <w:rPr>
          <w:rFonts w:ascii="Times New Roman" w:hAnsi="Times New Roman" w:cs="Times New Roman"/>
          <w:sz w:val="24"/>
          <w:szCs w:val="24"/>
        </w:rPr>
        <w:t xml:space="preserve">. </w:t>
      </w:r>
      <w:r w:rsidR="00171188" w:rsidRPr="0076294A">
        <w:rPr>
          <w:rFonts w:ascii="Times New Roman" w:hAnsi="Times New Roman" w:cs="Times New Roman"/>
          <w:sz w:val="24"/>
          <w:szCs w:val="24"/>
        </w:rPr>
        <w:t xml:space="preserve">Over the years, Naltrexone (XR-NTX) has been gaining popularity in the prevention of relapse rate in adults with opioid dependency as a more effective alternative to Buprenorphine-naloxone (BP-NLX).   </w:t>
      </w:r>
    </w:p>
    <w:p w:rsidR="00263660"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In this study, research evidence has been ret</w:t>
      </w:r>
      <w:r w:rsidR="0062352F" w:rsidRPr="0076294A">
        <w:rPr>
          <w:rFonts w:ascii="Times New Roman" w:hAnsi="Times New Roman" w:cs="Times New Roman"/>
          <w:sz w:val="24"/>
          <w:szCs w:val="24"/>
        </w:rPr>
        <w:t xml:space="preserve">rieved to </w:t>
      </w:r>
      <w:r w:rsidRPr="0076294A">
        <w:rPr>
          <w:rFonts w:ascii="Times New Roman" w:hAnsi="Times New Roman" w:cs="Times New Roman"/>
          <w:sz w:val="24"/>
          <w:szCs w:val="24"/>
        </w:rPr>
        <w:t>determin</w:t>
      </w:r>
      <w:r w:rsidR="00171188" w:rsidRPr="0076294A">
        <w:rPr>
          <w:rFonts w:ascii="Times New Roman" w:hAnsi="Times New Roman" w:cs="Times New Roman"/>
          <w:sz w:val="24"/>
          <w:szCs w:val="24"/>
        </w:rPr>
        <w:t xml:space="preserve">e the effectiveness of </w:t>
      </w:r>
      <w:r w:rsidR="0062352F" w:rsidRPr="0076294A">
        <w:rPr>
          <w:rFonts w:ascii="Times New Roman" w:hAnsi="Times New Roman" w:cs="Times New Roman"/>
          <w:sz w:val="24"/>
          <w:szCs w:val="24"/>
        </w:rPr>
        <w:t>Naltrexone</w:t>
      </w:r>
      <w:r w:rsidRPr="0076294A">
        <w:rPr>
          <w:rFonts w:ascii="Times New Roman" w:hAnsi="Times New Roman" w:cs="Times New Roman"/>
          <w:sz w:val="24"/>
          <w:szCs w:val="24"/>
        </w:rPr>
        <w:t xml:space="preserve"> </w:t>
      </w:r>
      <w:r w:rsidR="00171188" w:rsidRPr="0076294A">
        <w:rPr>
          <w:rFonts w:ascii="Times New Roman" w:hAnsi="Times New Roman" w:cs="Times New Roman"/>
          <w:sz w:val="24"/>
          <w:szCs w:val="24"/>
        </w:rPr>
        <w:t>(XR-NTX)</w:t>
      </w:r>
      <w:r w:rsidR="0062352F" w:rsidRPr="0076294A">
        <w:rPr>
          <w:rFonts w:ascii="Times New Roman" w:hAnsi="Times New Roman" w:cs="Times New Roman"/>
          <w:sz w:val="24"/>
          <w:szCs w:val="24"/>
        </w:rPr>
        <w:t xml:space="preserve"> </w:t>
      </w:r>
      <w:r w:rsidR="00171188" w:rsidRPr="0076294A">
        <w:rPr>
          <w:rFonts w:ascii="Times New Roman" w:hAnsi="Times New Roman" w:cs="Times New Roman"/>
          <w:sz w:val="24"/>
          <w:szCs w:val="24"/>
        </w:rPr>
        <w:t xml:space="preserve">over </w:t>
      </w:r>
      <w:r w:rsidR="0062352F" w:rsidRPr="0076294A">
        <w:rPr>
          <w:rFonts w:ascii="Times New Roman" w:hAnsi="Times New Roman" w:cs="Times New Roman"/>
          <w:sz w:val="24"/>
          <w:szCs w:val="24"/>
        </w:rPr>
        <w:t>Buprenorphine-Naloxone (BUP-NLX)</w:t>
      </w:r>
      <w:r w:rsidR="00171188" w:rsidRPr="0076294A">
        <w:rPr>
          <w:rFonts w:ascii="Times New Roman" w:hAnsi="Times New Roman" w:cs="Times New Roman"/>
          <w:sz w:val="24"/>
          <w:szCs w:val="24"/>
        </w:rPr>
        <w:t xml:space="preserve"> in reducing the relapse rate in adults with opioid dependency</w:t>
      </w:r>
      <w:r w:rsidR="0062352F" w:rsidRPr="0076294A">
        <w:rPr>
          <w:rFonts w:ascii="Times New Roman" w:hAnsi="Times New Roman" w:cs="Times New Roman"/>
          <w:sz w:val="24"/>
          <w:szCs w:val="24"/>
        </w:rPr>
        <w:t>.</w:t>
      </w:r>
      <w:r w:rsidRPr="0076294A">
        <w:rPr>
          <w:rFonts w:ascii="Times New Roman" w:hAnsi="Times New Roman" w:cs="Times New Roman"/>
          <w:sz w:val="24"/>
          <w:szCs w:val="24"/>
        </w:rPr>
        <w:t xml:space="preserve"> </w:t>
      </w:r>
      <w:r w:rsidR="00311CF2" w:rsidRPr="0076294A">
        <w:rPr>
          <w:rFonts w:ascii="Times New Roman" w:hAnsi="Times New Roman" w:cs="Times New Roman"/>
          <w:sz w:val="24"/>
          <w:szCs w:val="24"/>
        </w:rPr>
        <w:t xml:space="preserve">In </w:t>
      </w:r>
      <w:r w:rsidR="00A575D8" w:rsidRPr="0076294A">
        <w:rPr>
          <w:rFonts w:ascii="Times New Roman" w:hAnsi="Times New Roman" w:cs="Times New Roman"/>
          <w:sz w:val="24"/>
          <w:szCs w:val="24"/>
        </w:rPr>
        <w:t>exploring the effectiveness of Naltrexone (XR-NTX), the following question is considered:</w:t>
      </w:r>
      <w:r w:rsidR="00311CF2" w:rsidRPr="0076294A">
        <w:rPr>
          <w:rFonts w:ascii="Times New Roman" w:hAnsi="Times New Roman" w:cs="Times New Roman"/>
          <w:sz w:val="24"/>
          <w:szCs w:val="24"/>
        </w:rPr>
        <w:t xml:space="preserve"> Among adults with opioid dependency, how</w:t>
      </w:r>
      <w:r w:rsidR="00685812" w:rsidRPr="0076294A">
        <w:rPr>
          <w:rFonts w:ascii="Times New Roman" w:hAnsi="Times New Roman" w:cs="Times New Roman"/>
          <w:sz w:val="24"/>
          <w:szCs w:val="24"/>
        </w:rPr>
        <w:t xml:space="preserve"> does</w:t>
      </w:r>
      <w:r w:rsidR="00311CF2" w:rsidRPr="0076294A">
        <w:rPr>
          <w:rFonts w:ascii="Times New Roman" w:hAnsi="Times New Roman" w:cs="Times New Roman"/>
          <w:sz w:val="24"/>
          <w:szCs w:val="24"/>
        </w:rPr>
        <w:t xml:space="preserve"> Naltrexone (XR-NTX) </w:t>
      </w:r>
      <w:r w:rsidR="00685812" w:rsidRPr="0076294A">
        <w:rPr>
          <w:rFonts w:ascii="Times New Roman" w:hAnsi="Times New Roman" w:cs="Times New Roman"/>
          <w:sz w:val="24"/>
          <w:szCs w:val="24"/>
        </w:rPr>
        <w:t xml:space="preserve">therapy </w:t>
      </w:r>
      <w:r w:rsidR="00311CF2" w:rsidRPr="0076294A">
        <w:rPr>
          <w:rFonts w:ascii="Times New Roman" w:hAnsi="Times New Roman" w:cs="Times New Roman"/>
          <w:sz w:val="24"/>
          <w:szCs w:val="24"/>
        </w:rPr>
        <w:t>prescription</w:t>
      </w:r>
      <w:r w:rsidR="00685812" w:rsidRPr="0076294A">
        <w:rPr>
          <w:rFonts w:ascii="Times New Roman" w:hAnsi="Times New Roman" w:cs="Times New Roman"/>
          <w:sz w:val="24"/>
          <w:szCs w:val="24"/>
        </w:rPr>
        <w:t xml:space="preserve"> result in relapse rate reduction in comparison to Buprenorphine-naloxone (BP-NLX)? This study will synthesize evidence on four previously identified research papers, provide an overview of the collected evidence, identify the research gaps, and lastly, offer a practice recommendation to reduce the opioid dependency relapse rate in adults with opioid dependency. In addition, the appendix will include a synthesis of the strengths and weaknesses of the outlined studies</w:t>
      </w:r>
      <w:r w:rsidR="009B36DF" w:rsidRPr="0076294A">
        <w:rPr>
          <w:rFonts w:ascii="Times New Roman" w:hAnsi="Times New Roman" w:cs="Times New Roman"/>
          <w:sz w:val="24"/>
          <w:szCs w:val="24"/>
        </w:rPr>
        <w:t xml:space="preserve">.  </w:t>
      </w:r>
    </w:p>
    <w:p w:rsidR="00A575D8" w:rsidRPr="0076294A" w:rsidRDefault="005F16C0"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 xml:space="preserve">Evidence </w:t>
      </w:r>
      <w:r w:rsidR="00250046" w:rsidRPr="0076294A">
        <w:rPr>
          <w:rFonts w:ascii="Times New Roman" w:hAnsi="Times New Roman" w:cs="Times New Roman"/>
          <w:b/>
          <w:sz w:val="24"/>
          <w:szCs w:val="24"/>
        </w:rPr>
        <w:t>quality</w:t>
      </w:r>
    </w:p>
    <w:p w:rsidR="006302D6"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Open-label </w:t>
      </w:r>
      <w:r w:rsidRPr="0076294A">
        <w:rPr>
          <w:rFonts w:ascii="Times New Roman" w:hAnsi="Times New Roman" w:cs="Times New Roman"/>
          <w:sz w:val="24"/>
          <w:szCs w:val="24"/>
        </w:rPr>
        <w:t>control trial conducted by Opheim et al. (2016) aimed at comparing the rate of relapse in adults w</w:t>
      </w:r>
      <w:r w:rsidR="0052618C" w:rsidRPr="0076294A">
        <w:rPr>
          <w:rFonts w:ascii="Times New Roman" w:hAnsi="Times New Roman" w:cs="Times New Roman"/>
          <w:sz w:val="24"/>
          <w:szCs w:val="24"/>
        </w:rPr>
        <w:t>ith op</w:t>
      </w:r>
      <w:r w:rsidR="006315FB" w:rsidRPr="0076294A">
        <w:rPr>
          <w:rFonts w:ascii="Times New Roman" w:hAnsi="Times New Roman" w:cs="Times New Roman"/>
          <w:sz w:val="24"/>
          <w:szCs w:val="24"/>
        </w:rPr>
        <w:t xml:space="preserve">ioid dependency while treated with Naltrexone alongside patients treated with Buprenorphine-naloxone (BP-NLX). </w:t>
      </w:r>
      <w:r w:rsidR="00C05C8F" w:rsidRPr="0076294A">
        <w:rPr>
          <w:rFonts w:ascii="Times New Roman" w:hAnsi="Times New Roman" w:cs="Times New Roman"/>
          <w:sz w:val="24"/>
          <w:szCs w:val="24"/>
        </w:rPr>
        <w:t>143 patients who were detoxified received either of the dosses and were assessed after randomization. One team was injected with 380 mg of Naltrexone administered once every month as the placebo team received 8.24/2.6 mg of Buprenorphine-naloxone</w:t>
      </w:r>
      <w:r w:rsidR="00D82185" w:rsidRPr="0076294A">
        <w:rPr>
          <w:rFonts w:ascii="Times New Roman" w:hAnsi="Times New Roman" w:cs="Times New Roman"/>
          <w:sz w:val="24"/>
          <w:szCs w:val="24"/>
        </w:rPr>
        <w:t xml:space="preserve"> </w:t>
      </w:r>
      <w:r w:rsidR="00C05C8F" w:rsidRPr="0076294A">
        <w:rPr>
          <w:rFonts w:ascii="Times New Roman" w:hAnsi="Times New Roman" w:cs="Times New Roman"/>
          <w:sz w:val="24"/>
          <w:szCs w:val="24"/>
        </w:rPr>
        <w:t>daily.</w:t>
      </w:r>
      <w:r w:rsidR="00A430F0" w:rsidRPr="0076294A">
        <w:rPr>
          <w:rFonts w:ascii="Times New Roman" w:hAnsi="Times New Roman" w:cs="Times New Roman"/>
          <w:sz w:val="24"/>
          <w:szCs w:val="24"/>
        </w:rPr>
        <w:t xml:space="preserve"> The study continued for 12 weeks in different centers. However, the center data is not provided. Evidence of relapse was accessed every month as numerous procedures were implemented in determining the rate of relapse.</w:t>
      </w:r>
      <w:r w:rsidR="00AB297A" w:rsidRPr="0076294A">
        <w:rPr>
          <w:rFonts w:ascii="Times New Roman" w:hAnsi="Times New Roman" w:cs="Times New Roman"/>
          <w:sz w:val="24"/>
          <w:szCs w:val="24"/>
        </w:rPr>
        <w:t xml:space="preserve"> At 36 weeks of continued test, only 5 of the 122 remaining participants chose to continue with Buprenorphine-naloxone who were disqualified from the study due to the biased proportion.</w:t>
      </w:r>
    </w:p>
    <w:p w:rsidR="006302D6" w:rsidRPr="0076294A" w:rsidRDefault="00390375"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Along with the study, several patients opted for Naltrexone instead of Buprenorphine-naloxone, and no patients previously administered with Naltrexone opted for Buprenorphine-naloxone</w:t>
      </w:r>
      <w:r w:rsidR="00871AED" w:rsidRPr="0076294A">
        <w:rPr>
          <w:rFonts w:ascii="Times New Roman" w:hAnsi="Times New Roman" w:cs="Times New Roman"/>
          <w:sz w:val="24"/>
          <w:szCs w:val="24"/>
        </w:rPr>
        <w:t xml:space="preserve"> (Opheim et al, 2021)</w:t>
      </w:r>
      <w:r w:rsidRPr="0076294A">
        <w:rPr>
          <w:rFonts w:ascii="Times New Roman" w:hAnsi="Times New Roman" w:cs="Times New Roman"/>
          <w:sz w:val="24"/>
          <w:szCs w:val="24"/>
        </w:rPr>
        <w:t>. The study found out that patients were more receptive to XR-NTX as compared to BP-NLX. Further, the study outl</w:t>
      </w:r>
      <w:r w:rsidR="00F5202B" w:rsidRPr="0076294A">
        <w:rPr>
          <w:rFonts w:ascii="Times New Roman" w:hAnsi="Times New Roman" w:cs="Times New Roman"/>
          <w:sz w:val="24"/>
          <w:szCs w:val="24"/>
        </w:rPr>
        <w:t>ined a low relapse rate of patients treated with XR-NTX and more retention of patients treated with XR-NTX.</w:t>
      </w:r>
      <w:r w:rsidR="005F16C0" w:rsidRPr="0076294A">
        <w:rPr>
          <w:rFonts w:ascii="Times New Roman" w:hAnsi="Times New Roman" w:cs="Times New Roman"/>
          <w:sz w:val="24"/>
          <w:szCs w:val="24"/>
        </w:rPr>
        <w:t xml:space="preserve"> The study was ranked as a B from the Melnyk level evidence.</w:t>
      </w:r>
    </w:p>
    <w:p w:rsidR="00B31A97"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 randomized control trial conducted by Sullivan et al. (2017) aimed at comparing 2 opioid detoxification strategies to aid in the</w:t>
      </w:r>
      <w:r w:rsidR="002279C5" w:rsidRPr="0076294A">
        <w:rPr>
          <w:rFonts w:ascii="Times New Roman" w:hAnsi="Times New Roman" w:cs="Times New Roman"/>
          <w:sz w:val="24"/>
          <w:szCs w:val="24"/>
        </w:rPr>
        <w:t xml:space="preserve"> reduction of the relapse rate in adults diagnosed with opioid and heroin dependency. The study included 150 participants placed on either XN-TRX detoxification regime of BP-NLX followed by XR-NTX on a ratio of 2:1. XR-NTX detoxification was administered for a week coupled with a single day of BP-NLX plus XR-NTX oral tablets and other medicines. The second trial involved a 1-week tapering administration of BP-NLX detoxification coupled with a 1-week delay and XR-NTX administration. The patients in the two control groups also received behavioral therapy, medical follow-ups, and a final dose of XR-NTX. The study outlined </w:t>
      </w:r>
      <w:r w:rsidR="00C21080" w:rsidRPr="0076294A">
        <w:rPr>
          <w:rFonts w:ascii="Times New Roman" w:hAnsi="Times New Roman" w:cs="Times New Roman"/>
          <w:sz w:val="24"/>
          <w:szCs w:val="24"/>
        </w:rPr>
        <w:t>the safety in the administration of XR-NTX, its effectiveness in use, and an observed decrease in opioid dependency while administered with XR-NTX</w:t>
      </w:r>
      <w:r w:rsidR="002279C5" w:rsidRPr="0076294A">
        <w:rPr>
          <w:rFonts w:ascii="Times New Roman" w:hAnsi="Times New Roman" w:cs="Times New Roman"/>
          <w:sz w:val="24"/>
          <w:szCs w:val="24"/>
        </w:rPr>
        <w:t xml:space="preserve">. </w:t>
      </w:r>
    </w:p>
    <w:p w:rsidR="009A55F1"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Nune</w:t>
      </w:r>
      <w:r w:rsidRPr="0076294A">
        <w:rPr>
          <w:rFonts w:ascii="Times New Roman" w:hAnsi="Times New Roman" w:cs="Times New Roman"/>
          <w:sz w:val="24"/>
          <w:szCs w:val="24"/>
        </w:rPr>
        <w:t>s et al. (2021) randomized controlled-effectiveness trial aimed at determining the effects of patients demographic and medical characteristics on the relapse rate and effectiveness of opioid dependency treatment on patients treated with either XR-NTX</w:t>
      </w:r>
      <w:r w:rsidRPr="0076294A">
        <w:rPr>
          <w:rFonts w:ascii="Times New Roman" w:hAnsi="Times New Roman" w:cs="Times New Roman"/>
          <w:sz w:val="24"/>
          <w:szCs w:val="24"/>
        </w:rPr>
        <w:t xml:space="preserve"> or BP</w:t>
      </w:r>
      <w:r w:rsidRPr="0076294A">
        <w:rPr>
          <w:rFonts w:ascii="Times New Roman" w:hAnsi="Times New Roman" w:cs="Times New Roman"/>
          <w:sz w:val="24"/>
          <w:szCs w:val="24"/>
        </w:rPr>
        <w:t xml:space="preserve">-NLX. </w:t>
      </w:r>
      <w:r w:rsidR="004A0883" w:rsidRPr="0076294A">
        <w:rPr>
          <w:rFonts w:ascii="Times New Roman" w:hAnsi="Times New Roman" w:cs="Times New Roman"/>
          <w:sz w:val="24"/>
          <w:szCs w:val="24"/>
        </w:rPr>
        <w:t xml:space="preserve">570 participants were included in the study, while (N- 287) patients were administered with BP-NLX while (N283) with XR-NTX. </w:t>
      </w:r>
      <w:r w:rsidR="001F0343" w:rsidRPr="0076294A">
        <w:rPr>
          <w:rFonts w:ascii="Times New Roman" w:hAnsi="Times New Roman" w:cs="Times New Roman"/>
          <w:sz w:val="24"/>
          <w:szCs w:val="24"/>
        </w:rPr>
        <w:t xml:space="preserve">Patients were randomly assigned to either medication as the severity of intoxication was also considered in the drug administration. Highly intoxicated patients were administered higher doses of medication. 50 demographics such as age and ethnicity were considered, and the relapse rate was the primary variable. The study outlined that patients who were previously homeless or experienced adverse effects when matched with XR-NTX showed more significant improvement and a low relapse rate than patients on BP-NLX.  </w:t>
      </w:r>
    </w:p>
    <w:p w:rsidR="00A521E7"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Saeed &amp; Stanciu (2019) also conducted a randomized multicenter trial aimed at the effectiveness of XR-NTX</w:t>
      </w:r>
      <w:r w:rsidRPr="0076294A">
        <w:rPr>
          <w:rFonts w:ascii="Times New Roman" w:hAnsi="Times New Roman" w:cs="Times New Roman"/>
          <w:sz w:val="24"/>
          <w:szCs w:val="24"/>
        </w:rPr>
        <w:t xml:space="preserve"> to BUP-NX in t</w:t>
      </w:r>
      <w:r w:rsidRPr="0076294A">
        <w:rPr>
          <w:rFonts w:ascii="Times New Roman" w:hAnsi="Times New Roman" w:cs="Times New Roman"/>
          <w:sz w:val="24"/>
          <w:szCs w:val="24"/>
        </w:rPr>
        <w:t>reating opioid dependency amongst adults. To come up with the research findings, the rate of relapse was considered as the dependant variable. The participants were randomized to either XRR-NTX 380 mg/month or 4-24 mg/daily BP-NLX. The screening was consta</w:t>
      </w:r>
      <w:r w:rsidRPr="0076294A">
        <w:rPr>
          <w:rFonts w:ascii="Times New Roman" w:hAnsi="Times New Roman" w:cs="Times New Roman"/>
          <w:sz w:val="24"/>
          <w:szCs w:val="24"/>
        </w:rPr>
        <w:t>ntly done to determine the relapse rate among patients. The research study outlined that both medicines were effective in treating opioid dependencies. However, XR-NTX</w:t>
      </w:r>
      <w:r w:rsidRPr="0076294A">
        <w:rPr>
          <w:rFonts w:ascii="Times New Roman" w:hAnsi="Times New Roman" w:cs="Times New Roman"/>
          <w:sz w:val="24"/>
          <w:szCs w:val="24"/>
        </w:rPr>
        <w:t xml:space="preserve"> was more effective than BP-NLX in preventing relapse in patients when offered to patient</w:t>
      </w:r>
      <w:r w:rsidRPr="0076294A">
        <w:rPr>
          <w:rFonts w:ascii="Times New Roman" w:hAnsi="Times New Roman" w:cs="Times New Roman"/>
          <w:sz w:val="24"/>
          <w:szCs w:val="24"/>
        </w:rPr>
        <w:t xml:space="preserve">s after detoxification. </w:t>
      </w:r>
    </w:p>
    <w:p w:rsidR="00214331" w:rsidRPr="0076294A" w:rsidRDefault="005F16C0"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 xml:space="preserve">Evidence synthesis </w:t>
      </w:r>
    </w:p>
    <w:p w:rsidR="004E2CA4"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All the reviewed studies outline</w:t>
      </w:r>
      <w:r w:rsidR="00D03504" w:rsidRPr="0076294A">
        <w:rPr>
          <w:rFonts w:ascii="Times New Roman" w:hAnsi="Times New Roman" w:cs="Times New Roman"/>
          <w:sz w:val="24"/>
          <w:szCs w:val="24"/>
        </w:rPr>
        <w:t>d that XR-NTX therapy was an effective treatment in opioid dependency treatment. A decrease in relapse rate as compared to other forms of opioid treatment outlined the effectiveness of XR-NTX</w:t>
      </w:r>
      <w:r w:rsidR="00D32B11" w:rsidRPr="0076294A">
        <w:rPr>
          <w:rFonts w:ascii="Times New Roman" w:hAnsi="Times New Roman" w:cs="Times New Roman"/>
          <w:sz w:val="24"/>
          <w:szCs w:val="24"/>
        </w:rPr>
        <w:t xml:space="preserve"> </w:t>
      </w:r>
      <w:r w:rsidR="00D03504" w:rsidRPr="0076294A">
        <w:rPr>
          <w:rFonts w:ascii="Times New Roman" w:hAnsi="Times New Roman" w:cs="Times New Roman"/>
          <w:sz w:val="24"/>
          <w:szCs w:val="24"/>
        </w:rPr>
        <w:t xml:space="preserve">in </w:t>
      </w:r>
      <w:r w:rsidR="00D32B11" w:rsidRPr="0076294A">
        <w:rPr>
          <w:rFonts w:ascii="Times New Roman" w:hAnsi="Times New Roman" w:cs="Times New Roman"/>
          <w:sz w:val="24"/>
          <w:szCs w:val="24"/>
        </w:rPr>
        <w:t xml:space="preserve">opioid dependency in adult </w:t>
      </w:r>
      <w:r w:rsidR="00D03504" w:rsidRPr="0076294A">
        <w:rPr>
          <w:rFonts w:ascii="Times New Roman" w:hAnsi="Times New Roman" w:cs="Times New Roman"/>
          <w:sz w:val="24"/>
          <w:szCs w:val="24"/>
        </w:rPr>
        <w:t xml:space="preserve">treatment. All four studies had similar population characteristics of adults over 18 years previously diagnosed </w:t>
      </w:r>
      <w:r w:rsidR="00C420ED" w:rsidRPr="0076294A">
        <w:rPr>
          <w:rFonts w:ascii="Times New Roman" w:hAnsi="Times New Roman" w:cs="Times New Roman"/>
          <w:sz w:val="24"/>
          <w:szCs w:val="24"/>
        </w:rPr>
        <w:t xml:space="preserve">with opioid addiction. The different studies adopted distinctive sampling methodologies and reported on their sample size. </w:t>
      </w:r>
      <w:r w:rsidRPr="0076294A">
        <w:rPr>
          <w:rFonts w:ascii="Times New Roman" w:hAnsi="Times New Roman" w:cs="Times New Roman"/>
          <w:sz w:val="24"/>
          <w:szCs w:val="24"/>
        </w:rPr>
        <w:t>Two studies Saeed &amp; Stanciu (2019) and Ophium et al. (2016), utilized multi centers as the research centers in the rest remained unknown.</w:t>
      </w:r>
    </w:p>
    <w:p w:rsidR="003C6374"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The four studies adopted experimental research methodologies involving placebo and a </w:t>
      </w:r>
      <w:r w:rsidRPr="0076294A">
        <w:rPr>
          <w:rFonts w:ascii="Times New Roman" w:hAnsi="Times New Roman" w:cs="Times New Roman"/>
          <w:sz w:val="24"/>
          <w:szCs w:val="24"/>
        </w:rPr>
        <w:t>control group where participants were randomly selected. Similar interventions were adopted in the treatment of opioid dependency, as in all four studies</w:t>
      </w:r>
      <w:r w:rsidR="005C1C5D" w:rsidRPr="0076294A">
        <w:rPr>
          <w:rFonts w:ascii="Times New Roman" w:hAnsi="Times New Roman" w:cs="Times New Roman"/>
          <w:sz w:val="24"/>
          <w:szCs w:val="24"/>
        </w:rPr>
        <w:t>; the experiment groups were administered with XR-NTX while the control group was with BP-NLX. A few differences were also visible in the studies, such as XR-NTX detoxification in opioid and heroin intoxicated patients in Sulivan et al. (2017) randomized control trial.</w:t>
      </w:r>
      <w:r w:rsidR="00E45A14" w:rsidRPr="0076294A">
        <w:rPr>
          <w:rFonts w:ascii="Times New Roman" w:hAnsi="Times New Roman" w:cs="Times New Roman"/>
          <w:sz w:val="24"/>
          <w:szCs w:val="24"/>
        </w:rPr>
        <w:t xml:space="preserve"> Different treatment options were also adopted as some studies preferred inpatient patients (Nunes et al., 2021</w:t>
      </w:r>
      <w:r w:rsidR="00DF4077" w:rsidRPr="0076294A">
        <w:rPr>
          <w:rFonts w:ascii="Times New Roman" w:hAnsi="Times New Roman" w:cs="Times New Roman"/>
          <w:sz w:val="24"/>
          <w:szCs w:val="24"/>
        </w:rPr>
        <w:t>) while</w:t>
      </w:r>
      <w:r w:rsidR="00E45A14" w:rsidRPr="0076294A">
        <w:rPr>
          <w:rFonts w:ascii="Times New Roman" w:hAnsi="Times New Roman" w:cs="Times New Roman"/>
          <w:sz w:val="24"/>
          <w:szCs w:val="24"/>
        </w:rPr>
        <w:t xml:space="preserve"> others outpatients (Sulivan et al., 2017). </w:t>
      </w:r>
      <w:r w:rsidR="005C1C5D" w:rsidRPr="0076294A">
        <w:rPr>
          <w:rFonts w:ascii="Times New Roman" w:hAnsi="Times New Roman" w:cs="Times New Roman"/>
          <w:sz w:val="24"/>
          <w:szCs w:val="24"/>
        </w:rPr>
        <w:t xml:space="preserve">  </w:t>
      </w:r>
      <w:r w:rsidRPr="0076294A">
        <w:rPr>
          <w:rFonts w:ascii="Times New Roman" w:hAnsi="Times New Roman" w:cs="Times New Roman"/>
          <w:sz w:val="24"/>
          <w:szCs w:val="24"/>
        </w:rPr>
        <w:t xml:space="preserve"> </w:t>
      </w:r>
      <w:r w:rsidR="005C1C5D" w:rsidRPr="0076294A">
        <w:rPr>
          <w:rFonts w:ascii="Times New Roman" w:hAnsi="Times New Roman" w:cs="Times New Roman"/>
          <w:sz w:val="24"/>
          <w:szCs w:val="24"/>
        </w:rPr>
        <w:t xml:space="preserve">  </w:t>
      </w:r>
    </w:p>
    <w:p w:rsidR="00152C3C"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b/>
      </w:r>
      <w:r w:rsidR="00BF59D1" w:rsidRPr="0076294A">
        <w:rPr>
          <w:rFonts w:ascii="Times New Roman" w:hAnsi="Times New Roman" w:cs="Times New Roman"/>
          <w:sz w:val="24"/>
          <w:szCs w:val="24"/>
        </w:rPr>
        <w:t>The research designs in all four studies were different as different dependent variables were considered in the studies. However, the adoption of experimental methodologies realiz</w:t>
      </w:r>
      <w:r w:rsidR="00F84671" w:rsidRPr="0076294A">
        <w:rPr>
          <w:rFonts w:ascii="Times New Roman" w:hAnsi="Times New Roman" w:cs="Times New Roman"/>
          <w:sz w:val="24"/>
          <w:szCs w:val="24"/>
        </w:rPr>
        <w:t>e</w:t>
      </w:r>
      <w:r w:rsidR="00BF59D1" w:rsidRPr="0076294A">
        <w:rPr>
          <w:rFonts w:ascii="Times New Roman" w:hAnsi="Times New Roman" w:cs="Times New Roman"/>
          <w:sz w:val="24"/>
          <w:szCs w:val="24"/>
        </w:rPr>
        <w:t>d</w:t>
      </w:r>
      <w:r w:rsidR="00F84671" w:rsidRPr="0076294A">
        <w:rPr>
          <w:rFonts w:ascii="Times New Roman" w:hAnsi="Times New Roman" w:cs="Times New Roman"/>
          <w:sz w:val="24"/>
          <w:szCs w:val="24"/>
        </w:rPr>
        <w:t xml:space="preserve"> the most substantial evidence and best evidence</w:t>
      </w:r>
      <w:r w:rsidR="002C5314" w:rsidRPr="0076294A">
        <w:rPr>
          <w:rFonts w:ascii="Times New Roman" w:hAnsi="Times New Roman" w:cs="Times New Roman"/>
          <w:sz w:val="24"/>
          <w:szCs w:val="24"/>
        </w:rPr>
        <w:t xml:space="preserve">. </w:t>
      </w:r>
      <w:r w:rsidR="004C37FB" w:rsidRPr="0076294A">
        <w:rPr>
          <w:rFonts w:ascii="Times New Roman" w:hAnsi="Times New Roman" w:cs="Times New Roman"/>
          <w:sz w:val="24"/>
          <w:szCs w:val="24"/>
        </w:rPr>
        <w:t>All of the 4 studies focused on the rate of relapse in determining XR-NTX efficiency in opioid dependency. In contrast, one study paid to focus on factors of demographic data which influence the relapse rate (Nunes et al., 20</w:t>
      </w:r>
      <w:r w:rsidR="008D2A57" w:rsidRPr="0076294A">
        <w:rPr>
          <w:rFonts w:ascii="Times New Roman" w:hAnsi="Times New Roman" w:cs="Times New Roman"/>
          <w:sz w:val="24"/>
          <w:szCs w:val="24"/>
        </w:rPr>
        <w:t>21</w:t>
      </w:r>
      <w:r w:rsidR="004C37FB" w:rsidRPr="0076294A">
        <w:rPr>
          <w:rFonts w:ascii="Times New Roman" w:hAnsi="Times New Roman" w:cs="Times New Roman"/>
          <w:sz w:val="24"/>
          <w:szCs w:val="24"/>
        </w:rPr>
        <w:t>).</w:t>
      </w:r>
      <w:r w:rsidR="008D2A57" w:rsidRPr="0076294A">
        <w:rPr>
          <w:rFonts w:ascii="Times New Roman" w:hAnsi="Times New Roman" w:cs="Times New Roman"/>
          <w:sz w:val="24"/>
          <w:szCs w:val="24"/>
        </w:rPr>
        <w:t>1 more studies paid emphasis on medical preference as a determining factor in treatment retention (Sulivan et al., 2017)</w:t>
      </w:r>
      <w:r w:rsidR="006118E9" w:rsidRPr="0076294A">
        <w:rPr>
          <w:rFonts w:ascii="Times New Roman" w:hAnsi="Times New Roman" w:cs="Times New Roman"/>
          <w:sz w:val="24"/>
          <w:szCs w:val="24"/>
        </w:rPr>
        <w:t>. Lastly, one study emphasized the role of psychotherapy alongside XR-NTX treatment (Nunes, 2021)</w:t>
      </w:r>
      <w:r w:rsidR="008D2A57" w:rsidRPr="0076294A">
        <w:rPr>
          <w:rFonts w:ascii="Times New Roman" w:hAnsi="Times New Roman" w:cs="Times New Roman"/>
          <w:sz w:val="24"/>
          <w:szCs w:val="24"/>
        </w:rPr>
        <w:t xml:space="preserve">. </w:t>
      </w:r>
      <w:r w:rsidRPr="0076294A">
        <w:rPr>
          <w:rFonts w:ascii="Times New Roman" w:hAnsi="Times New Roman" w:cs="Times New Roman"/>
          <w:sz w:val="24"/>
          <w:szCs w:val="24"/>
        </w:rPr>
        <w:t>However, despite the differences, the studies were similar to some extent to conclude that XR-NTX</w:t>
      </w:r>
      <w:r w:rsidRPr="0076294A">
        <w:rPr>
          <w:rFonts w:ascii="Times New Roman" w:hAnsi="Times New Roman" w:cs="Times New Roman"/>
          <w:sz w:val="24"/>
          <w:szCs w:val="24"/>
        </w:rPr>
        <w:t xml:space="preserve"> was effective in treating adults suffering from opioid dependency by reducing the rate of relapse. </w:t>
      </w:r>
      <w:r w:rsidR="00FD1344" w:rsidRPr="0076294A">
        <w:rPr>
          <w:rFonts w:ascii="Times New Roman" w:hAnsi="Times New Roman" w:cs="Times New Roman"/>
          <w:sz w:val="24"/>
          <w:szCs w:val="24"/>
        </w:rPr>
        <w:t>Bas</w:t>
      </w:r>
      <w:r w:rsidR="006118E9" w:rsidRPr="0076294A">
        <w:rPr>
          <w:rFonts w:ascii="Times New Roman" w:hAnsi="Times New Roman" w:cs="Times New Roman"/>
          <w:sz w:val="24"/>
          <w:szCs w:val="24"/>
        </w:rPr>
        <w:t xml:space="preserve">ed on the research, it is clear that drug priorities and matching patients with prioritized medications increase treatment retention. Other factors such as demographic factors and social factors such as homelessness, when elevated, can help in the decrease of opioid dependency. Psychotherapy adoption alongside treatment also helped in the reception of medication and proved retention in the care. </w:t>
      </w:r>
      <w:r w:rsidR="00400995" w:rsidRPr="0076294A">
        <w:rPr>
          <w:rFonts w:ascii="Times New Roman" w:hAnsi="Times New Roman" w:cs="Times New Roman"/>
          <w:sz w:val="24"/>
          <w:szCs w:val="24"/>
        </w:rPr>
        <w:t xml:space="preserve">Lastly, research outlines that naltrexone XR-NTX is as efficient as BUP-NLX in treating opioid dependency among adults. </w:t>
      </w:r>
    </w:p>
    <w:p w:rsidR="00B703DF"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b/>
        <w:t>The research synthesis also documented inconsis</w:t>
      </w:r>
      <w:r w:rsidRPr="0076294A">
        <w:rPr>
          <w:rFonts w:ascii="Times New Roman" w:hAnsi="Times New Roman" w:cs="Times New Roman"/>
          <w:sz w:val="24"/>
          <w:szCs w:val="24"/>
        </w:rPr>
        <w:t>tent results as oral daily doses of XR-NTX</w:t>
      </w:r>
      <w:r w:rsidRPr="0076294A">
        <w:rPr>
          <w:rFonts w:ascii="Times New Roman" w:hAnsi="Times New Roman" w:cs="Times New Roman"/>
          <w:sz w:val="24"/>
          <w:szCs w:val="24"/>
        </w:rPr>
        <w:t xml:space="preserve"> outlined different retention rates compared to monthly injectable XR-NTX</w:t>
      </w:r>
      <w:r w:rsidRPr="0076294A">
        <w:rPr>
          <w:rFonts w:ascii="Times New Roman" w:hAnsi="Times New Roman" w:cs="Times New Roman"/>
          <w:sz w:val="24"/>
          <w:szCs w:val="24"/>
        </w:rPr>
        <w:t>. The time differences adopted by different researchers also made it challenging to generalize treatment durations, as some studies adopted 1</w:t>
      </w:r>
      <w:r w:rsidRPr="0076294A">
        <w:rPr>
          <w:rFonts w:ascii="Times New Roman" w:hAnsi="Times New Roman" w:cs="Times New Roman"/>
          <w:sz w:val="24"/>
          <w:szCs w:val="24"/>
        </w:rPr>
        <w:t>2 weeks (Opheium et al., 2016), whereas others suggested 24 weeks (Nunes, 2021).</w:t>
      </w:r>
      <w:r w:rsidR="006C2E60" w:rsidRPr="0076294A">
        <w:rPr>
          <w:rFonts w:ascii="Times New Roman" w:hAnsi="Times New Roman" w:cs="Times New Roman"/>
          <w:sz w:val="24"/>
          <w:szCs w:val="24"/>
        </w:rPr>
        <w:t xml:space="preserve"> </w:t>
      </w:r>
      <w:r w:rsidR="00BC3452" w:rsidRPr="0076294A">
        <w:rPr>
          <w:rFonts w:ascii="Times New Roman" w:hAnsi="Times New Roman" w:cs="Times New Roman"/>
          <w:sz w:val="24"/>
          <w:szCs w:val="24"/>
        </w:rPr>
        <w:t xml:space="preserve">Other, factors as outlined by </w:t>
      </w:r>
      <w:r w:rsidR="00227956" w:rsidRPr="0076294A">
        <w:rPr>
          <w:rFonts w:ascii="Times New Roman" w:hAnsi="Times New Roman" w:cs="Times New Roman"/>
          <w:sz w:val="24"/>
          <w:szCs w:val="24"/>
        </w:rPr>
        <w:t>Nunes et al. (2021), such as the severity of opioid use, made it hard to come up with more generalized findings as different factors were in play. Other considered variables such as patient's demographic composition, sample size, and treatment periods are responsible for th</w:t>
      </w:r>
      <w:r w:rsidR="004B34F5" w:rsidRPr="0076294A">
        <w:rPr>
          <w:rFonts w:ascii="Times New Roman" w:hAnsi="Times New Roman" w:cs="Times New Roman"/>
          <w:sz w:val="24"/>
          <w:szCs w:val="24"/>
        </w:rPr>
        <w:t>e variation in treatment length</w:t>
      </w:r>
      <w:r w:rsidR="00227956" w:rsidRPr="0076294A">
        <w:rPr>
          <w:rFonts w:ascii="Times New Roman" w:hAnsi="Times New Roman" w:cs="Times New Roman"/>
          <w:sz w:val="24"/>
          <w:szCs w:val="24"/>
        </w:rPr>
        <w:t xml:space="preserve">s. </w:t>
      </w:r>
    </w:p>
    <w:p w:rsidR="00581340"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Opium et al. (2021) considered the long-term effect of XR-NTX</w:t>
      </w:r>
      <w:r w:rsidRPr="0076294A">
        <w:rPr>
          <w:rFonts w:ascii="Times New Roman" w:hAnsi="Times New Roman" w:cs="Times New Roman"/>
          <w:sz w:val="24"/>
          <w:szCs w:val="24"/>
        </w:rPr>
        <w:t xml:space="preserve"> treatment of opioid dependenc</w:t>
      </w:r>
      <w:r w:rsidRPr="0076294A">
        <w:rPr>
          <w:rFonts w:ascii="Times New Roman" w:hAnsi="Times New Roman" w:cs="Times New Roman"/>
          <w:sz w:val="24"/>
          <w:szCs w:val="24"/>
        </w:rPr>
        <w:t xml:space="preserve">y and the risk of relapse in coming years. </w:t>
      </w:r>
      <w:r w:rsidR="00F84671" w:rsidRPr="0076294A">
        <w:rPr>
          <w:rFonts w:ascii="Times New Roman" w:hAnsi="Times New Roman" w:cs="Times New Roman"/>
          <w:sz w:val="24"/>
          <w:szCs w:val="24"/>
        </w:rPr>
        <w:t xml:space="preserve"> </w:t>
      </w:r>
      <w:r w:rsidR="00646C7D" w:rsidRPr="0076294A">
        <w:rPr>
          <w:rFonts w:ascii="Times New Roman" w:hAnsi="Times New Roman" w:cs="Times New Roman"/>
          <w:sz w:val="24"/>
          <w:szCs w:val="24"/>
        </w:rPr>
        <w:t>Which</w:t>
      </w:r>
      <w:r w:rsidR="00F84671" w:rsidRPr="0076294A">
        <w:rPr>
          <w:rFonts w:ascii="Times New Roman" w:hAnsi="Times New Roman" w:cs="Times New Roman"/>
          <w:sz w:val="24"/>
          <w:szCs w:val="24"/>
        </w:rPr>
        <w:t xml:space="preserve"> outlined that XR-NTX reduces the relapse rate 12 weeks after administration. Opheium et al. (2016) randomized control trial reported a high XR-NTX monthly injection preference over </w:t>
      </w:r>
      <w:r w:rsidR="00984923" w:rsidRPr="0076294A">
        <w:rPr>
          <w:rFonts w:ascii="Times New Roman" w:hAnsi="Times New Roman" w:cs="Times New Roman"/>
          <w:sz w:val="24"/>
          <w:szCs w:val="24"/>
        </w:rPr>
        <w:t xml:space="preserve">BUP-NLX daily oral tablet, which led to a higher retention rate in the rehabilitation centers. On the other hand, Nunes et al., (2021) </w:t>
      </w:r>
      <w:r w:rsidR="00A42F88" w:rsidRPr="0076294A">
        <w:rPr>
          <w:rFonts w:ascii="Times New Roman" w:hAnsi="Times New Roman" w:cs="Times New Roman"/>
          <w:sz w:val="24"/>
          <w:szCs w:val="24"/>
        </w:rPr>
        <w:t xml:space="preserve">randomized comparative-effectiveness trial outlined a positive retention rate in patients who were matched with drugs of their choice. </w:t>
      </w:r>
      <w:r w:rsidR="00424D19" w:rsidRPr="0076294A">
        <w:rPr>
          <w:rFonts w:ascii="Times New Roman" w:hAnsi="Times New Roman" w:cs="Times New Roman"/>
          <w:sz w:val="24"/>
          <w:szCs w:val="24"/>
        </w:rPr>
        <w:t xml:space="preserve">The study further outlined that an inpatient treatment option for homeless opioid-dependent patients led to a lower relapse rate than outpatient. Other factors such as medical preferences and demographic factors also play a massive role in medication tolerability and effectiveness. </w:t>
      </w:r>
    </w:p>
    <w:p w:rsidR="00AD10DE"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b/>
        <w:t>In both Ophium et al. (2016) and Saed &amp; Stanciu (2019), 380 mg of XR-NTX</w:t>
      </w:r>
      <w:r w:rsidR="006E60CC" w:rsidRPr="0076294A">
        <w:rPr>
          <w:rFonts w:ascii="Times New Roman" w:hAnsi="Times New Roman" w:cs="Times New Roman"/>
          <w:sz w:val="24"/>
          <w:szCs w:val="24"/>
        </w:rPr>
        <w:t xml:space="preserve"> per month was consistent, whereas the daily dosage of BP-NLX varied in the studies. </w:t>
      </w:r>
      <w:r w:rsidR="004A4DBE" w:rsidRPr="0076294A">
        <w:rPr>
          <w:rFonts w:ascii="Times New Roman" w:hAnsi="Times New Roman" w:cs="Times New Roman"/>
          <w:sz w:val="24"/>
          <w:szCs w:val="24"/>
        </w:rPr>
        <w:t>In three studies, single shots of Naltrexone were found to decrease the relapse rate in opioid addiction clients. (Ophium et al., 201</w:t>
      </w:r>
      <w:r w:rsidR="00197024" w:rsidRPr="0076294A">
        <w:rPr>
          <w:rFonts w:ascii="Times New Roman" w:hAnsi="Times New Roman" w:cs="Times New Roman"/>
          <w:sz w:val="24"/>
          <w:szCs w:val="24"/>
        </w:rPr>
        <w:t>6; Saeed &amp; Stanciu, 2019; Nunes et al., 2021</w:t>
      </w:r>
      <w:r w:rsidR="004A4DBE" w:rsidRPr="0076294A">
        <w:rPr>
          <w:rFonts w:ascii="Times New Roman" w:hAnsi="Times New Roman" w:cs="Times New Roman"/>
          <w:sz w:val="24"/>
          <w:szCs w:val="24"/>
        </w:rPr>
        <w:t xml:space="preserve">), one study administered XR-NTX in detoxification before administering patients with distinctive randomized trials. All the studies documented similar findings on the effectiveness of 350 mg of XR-NTXin in reducing the relapse rate in opioid dependency in a period of 2 months. However, one study by Nunes et al. (2021) focused on the administration of XR-NTX for detoxification, followed by </w:t>
      </w:r>
      <w:r w:rsidR="00C420ED" w:rsidRPr="0076294A">
        <w:rPr>
          <w:rFonts w:ascii="Times New Roman" w:hAnsi="Times New Roman" w:cs="Times New Roman"/>
          <w:sz w:val="24"/>
          <w:szCs w:val="24"/>
        </w:rPr>
        <w:t xml:space="preserve">small </w:t>
      </w:r>
      <w:r w:rsidR="004A4DBE" w:rsidRPr="0076294A">
        <w:rPr>
          <w:rFonts w:ascii="Times New Roman" w:hAnsi="Times New Roman" w:cs="Times New Roman"/>
          <w:sz w:val="24"/>
          <w:szCs w:val="24"/>
        </w:rPr>
        <w:t xml:space="preserve">daily doses of XR-NTX alongside other drugs for opioid dependency treatment. </w:t>
      </w:r>
      <w:r w:rsidR="00C420ED" w:rsidRPr="0076294A">
        <w:rPr>
          <w:rFonts w:ascii="Times New Roman" w:hAnsi="Times New Roman" w:cs="Times New Roman"/>
          <w:sz w:val="24"/>
          <w:szCs w:val="24"/>
        </w:rPr>
        <w:t xml:space="preserve">However. All the studies in this synthesis were followed over a short period of use and cannot be generalized for future long-term use. </w:t>
      </w:r>
    </w:p>
    <w:p w:rsidR="00581340" w:rsidRPr="0076294A" w:rsidRDefault="005F16C0"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 xml:space="preserve">Gaps in research </w:t>
      </w:r>
    </w:p>
    <w:p w:rsidR="00C420ED"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The difficulties in retri</w:t>
      </w:r>
      <w:r w:rsidRPr="0076294A">
        <w:rPr>
          <w:rFonts w:ascii="Times New Roman" w:hAnsi="Times New Roman" w:cs="Times New Roman"/>
          <w:sz w:val="24"/>
          <w:szCs w:val="24"/>
        </w:rPr>
        <w:t xml:space="preserve">eving studies for this evidence synthesis outline a gap in research. </w:t>
      </w:r>
      <w:r w:rsidR="00384637" w:rsidRPr="0076294A">
        <w:rPr>
          <w:rFonts w:ascii="Times New Roman" w:hAnsi="Times New Roman" w:cs="Times New Roman"/>
          <w:sz w:val="24"/>
          <w:szCs w:val="24"/>
        </w:rPr>
        <w:t>During research retrieval</w:t>
      </w:r>
      <w:r w:rsidR="00330FAB" w:rsidRPr="0076294A">
        <w:rPr>
          <w:rFonts w:ascii="Times New Roman" w:hAnsi="Times New Roman" w:cs="Times New Roman"/>
          <w:sz w:val="24"/>
          <w:szCs w:val="24"/>
        </w:rPr>
        <w:t xml:space="preserve"> locating desirable experiment-based studies was practically tricky, as few studies compare the effectiveness of XR-NTX to BUP-NLX in reducing relapse as a measure of XR-NTX effectiveness in treating opioid dependency.</w:t>
      </w:r>
      <w:r w:rsidR="00384637" w:rsidRPr="0076294A">
        <w:rPr>
          <w:rFonts w:ascii="Times New Roman" w:hAnsi="Times New Roman" w:cs="Times New Roman"/>
          <w:sz w:val="24"/>
          <w:szCs w:val="24"/>
        </w:rPr>
        <w:t xml:space="preserve"> The retrieved studies w</w:t>
      </w:r>
      <w:r w:rsidR="00330FAB" w:rsidRPr="0076294A">
        <w:rPr>
          <w:rFonts w:ascii="Times New Roman" w:hAnsi="Times New Roman" w:cs="Times New Roman"/>
          <w:sz w:val="24"/>
          <w:szCs w:val="24"/>
        </w:rPr>
        <w:t>e</w:t>
      </w:r>
      <w:r w:rsidR="00384637" w:rsidRPr="0076294A">
        <w:rPr>
          <w:rFonts w:ascii="Times New Roman" w:hAnsi="Times New Roman" w:cs="Times New Roman"/>
          <w:sz w:val="24"/>
          <w:szCs w:val="24"/>
        </w:rPr>
        <w:t>re unique to their kind as are the</w:t>
      </w:r>
      <w:r w:rsidR="00CD4653" w:rsidRPr="0076294A">
        <w:rPr>
          <w:rFonts w:ascii="Times New Roman" w:hAnsi="Times New Roman" w:cs="Times New Roman"/>
          <w:sz w:val="24"/>
          <w:szCs w:val="24"/>
        </w:rPr>
        <w:t>y were the</w:t>
      </w:r>
      <w:r w:rsidR="00384637" w:rsidRPr="0076294A">
        <w:rPr>
          <w:rFonts w:ascii="Times New Roman" w:hAnsi="Times New Roman" w:cs="Times New Roman"/>
          <w:sz w:val="24"/>
          <w:szCs w:val="24"/>
        </w:rPr>
        <w:t xml:space="preserve"> only </w:t>
      </w:r>
      <w:r w:rsidR="00CD4653" w:rsidRPr="0076294A">
        <w:rPr>
          <w:rFonts w:ascii="Times New Roman" w:hAnsi="Times New Roman" w:cs="Times New Roman"/>
          <w:sz w:val="24"/>
          <w:szCs w:val="24"/>
        </w:rPr>
        <w:t xml:space="preserve">experiment-based </w:t>
      </w:r>
      <w:r w:rsidR="00384637" w:rsidRPr="0076294A">
        <w:rPr>
          <w:rFonts w:ascii="Times New Roman" w:hAnsi="Times New Roman" w:cs="Times New Roman"/>
          <w:sz w:val="24"/>
          <w:szCs w:val="24"/>
        </w:rPr>
        <w:t>studies co</w:t>
      </w:r>
      <w:r w:rsidR="00CD4653" w:rsidRPr="0076294A">
        <w:rPr>
          <w:rFonts w:ascii="Times New Roman" w:hAnsi="Times New Roman" w:cs="Times New Roman"/>
          <w:sz w:val="24"/>
          <w:szCs w:val="24"/>
        </w:rPr>
        <w:t>m</w:t>
      </w:r>
      <w:r w:rsidR="00384637" w:rsidRPr="0076294A">
        <w:rPr>
          <w:rFonts w:ascii="Times New Roman" w:hAnsi="Times New Roman" w:cs="Times New Roman"/>
          <w:sz w:val="24"/>
          <w:szCs w:val="24"/>
        </w:rPr>
        <w:t xml:space="preserve">paring the two treatment options. </w:t>
      </w:r>
      <w:r w:rsidR="00FD5960" w:rsidRPr="0076294A">
        <w:rPr>
          <w:rFonts w:ascii="Times New Roman" w:hAnsi="Times New Roman" w:cs="Times New Roman"/>
          <w:sz w:val="24"/>
          <w:szCs w:val="24"/>
        </w:rPr>
        <w:t>The</w:t>
      </w:r>
      <w:r w:rsidR="00CD4653" w:rsidRPr="0076294A">
        <w:rPr>
          <w:rFonts w:ascii="Times New Roman" w:hAnsi="Times New Roman" w:cs="Times New Roman"/>
          <w:sz w:val="24"/>
          <w:szCs w:val="24"/>
        </w:rPr>
        <w:t xml:space="preserve"> inability of past research outlined a gap in opioid treatment </w:t>
      </w:r>
      <w:r w:rsidR="00FD5960" w:rsidRPr="0076294A">
        <w:rPr>
          <w:rFonts w:ascii="Times New Roman" w:hAnsi="Times New Roman" w:cs="Times New Roman"/>
          <w:sz w:val="24"/>
          <w:szCs w:val="24"/>
        </w:rPr>
        <w:t>re</w:t>
      </w:r>
      <w:r w:rsidR="00CD4653" w:rsidRPr="0076294A">
        <w:rPr>
          <w:rFonts w:ascii="Times New Roman" w:hAnsi="Times New Roman" w:cs="Times New Roman"/>
          <w:sz w:val="24"/>
          <w:szCs w:val="24"/>
        </w:rPr>
        <w:t>search.</w:t>
      </w:r>
      <w:r w:rsidR="00FD5960" w:rsidRPr="0076294A">
        <w:rPr>
          <w:rFonts w:ascii="Times New Roman" w:hAnsi="Times New Roman" w:cs="Times New Roman"/>
          <w:sz w:val="24"/>
          <w:szCs w:val="24"/>
        </w:rPr>
        <w:t xml:space="preserve"> </w:t>
      </w:r>
    </w:p>
    <w:p w:rsidR="008F025B"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A</w:t>
      </w:r>
      <w:r w:rsidR="002D5785" w:rsidRPr="0076294A">
        <w:rPr>
          <w:rFonts w:ascii="Times New Roman" w:hAnsi="Times New Roman" w:cs="Times New Roman"/>
          <w:sz w:val="24"/>
          <w:szCs w:val="24"/>
        </w:rPr>
        <w:t>ll the reviewed randomized searches outlined the effectiveness of</w:t>
      </w:r>
      <w:r w:rsidR="00437E87" w:rsidRPr="0076294A">
        <w:rPr>
          <w:rFonts w:ascii="Times New Roman" w:hAnsi="Times New Roman" w:cs="Times New Roman"/>
          <w:sz w:val="24"/>
          <w:szCs w:val="24"/>
        </w:rPr>
        <w:t xml:space="preserve"> XR-NTX in reducing the rate of relapse in opioid-dependent patients. Nunes et al. (2021) </w:t>
      </w:r>
      <w:r w:rsidR="00301FE6" w:rsidRPr="0076294A">
        <w:rPr>
          <w:rFonts w:ascii="Times New Roman" w:hAnsi="Times New Roman" w:cs="Times New Roman"/>
          <w:sz w:val="24"/>
          <w:szCs w:val="24"/>
        </w:rPr>
        <w:t>demonstrate</w:t>
      </w:r>
      <w:r w:rsidR="00437E87" w:rsidRPr="0076294A">
        <w:rPr>
          <w:rFonts w:ascii="Times New Roman" w:hAnsi="Times New Roman" w:cs="Times New Roman"/>
          <w:sz w:val="24"/>
          <w:szCs w:val="24"/>
        </w:rPr>
        <w:t xml:space="preserve"> the effectiveness of XR-NTX</w:t>
      </w:r>
      <w:r w:rsidR="00301FE6" w:rsidRPr="0076294A">
        <w:rPr>
          <w:rFonts w:ascii="Times New Roman" w:hAnsi="Times New Roman" w:cs="Times New Roman"/>
          <w:sz w:val="24"/>
          <w:szCs w:val="24"/>
        </w:rPr>
        <w:t xml:space="preserve"> in reducing relapse rate while emphasizing various demographic factors such as </w:t>
      </w:r>
      <w:r w:rsidR="00437E87" w:rsidRPr="0076294A">
        <w:rPr>
          <w:rFonts w:ascii="Times New Roman" w:hAnsi="Times New Roman" w:cs="Times New Roman"/>
          <w:sz w:val="24"/>
          <w:szCs w:val="24"/>
        </w:rPr>
        <w:t>race, education level, and religion</w:t>
      </w:r>
      <w:r w:rsidR="00301FE6" w:rsidRPr="0076294A">
        <w:rPr>
          <w:rFonts w:ascii="Times New Roman" w:hAnsi="Times New Roman" w:cs="Times New Roman"/>
          <w:sz w:val="24"/>
          <w:szCs w:val="24"/>
        </w:rPr>
        <w:t xml:space="preserve"> which are critical determinants in therapy effectiveness</w:t>
      </w:r>
      <w:r w:rsidR="00437E87" w:rsidRPr="0076294A">
        <w:rPr>
          <w:rFonts w:ascii="Times New Roman" w:hAnsi="Times New Roman" w:cs="Times New Roman"/>
          <w:sz w:val="24"/>
          <w:szCs w:val="24"/>
        </w:rPr>
        <w:t xml:space="preserve">. </w:t>
      </w:r>
      <w:r w:rsidR="00301FE6" w:rsidRPr="0076294A">
        <w:rPr>
          <w:rFonts w:ascii="Times New Roman" w:hAnsi="Times New Roman" w:cs="Times New Roman"/>
          <w:sz w:val="24"/>
          <w:szCs w:val="24"/>
        </w:rPr>
        <w:t xml:space="preserve">Further, </w:t>
      </w:r>
      <w:r w:rsidR="00437E87" w:rsidRPr="0076294A">
        <w:rPr>
          <w:rFonts w:ascii="Times New Roman" w:hAnsi="Times New Roman" w:cs="Times New Roman"/>
          <w:sz w:val="24"/>
          <w:szCs w:val="24"/>
        </w:rPr>
        <w:t>ra</w:t>
      </w:r>
      <w:r w:rsidR="00301FE6" w:rsidRPr="0076294A">
        <w:rPr>
          <w:rFonts w:ascii="Times New Roman" w:hAnsi="Times New Roman" w:cs="Times New Roman"/>
          <w:sz w:val="24"/>
          <w:szCs w:val="24"/>
        </w:rPr>
        <w:t>ndomized trials</w:t>
      </w:r>
      <w:r w:rsidR="00437E87" w:rsidRPr="0076294A">
        <w:rPr>
          <w:rFonts w:ascii="Times New Roman" w:hAnsi="Times New Roman" w:cs="Times New Roman"/>
          <w:sz w:val="24"/>
          <w:szCs w:val="24"/>
        </w:rPr>
        <w:t xml:space="preserve"> by; Opheim et al. (2021), Saeed &amp; Stanciu (2019), and Nines et al. (2021)</w:t>
      </w:r>
      <w:r w:rsidR="0071754B" w:rsidRPr="0076294A">
        <w:rPr>
          <w:rFonts w:ascii="Times New Roman" w:hAnsi="Times New Roman" w:cs="Times New Roman"/>
          <w:sz w:val="24"/>
          <w:szCs w:val="24"/>
        </w:rPr>
        <w:t xml:space="preserve"> validated</w:t>
      </w:r>
      <w:r w:rsidR="00301FE6" w:rsidRPr="0076294A">
        <w:rPr>
          <w:rFonts w:ascii="Times New Roman" w:hAnsi="Times New Roman" w:cs="Times New Roman"/>
          <w:sz w:val="24"/>
          <w:szCs w:val="24"/>
        </w:rPr>
        <w:t xml:space="preserve"> the effectiveness of </w:t>
      </w:r>
      <w:r w:rsidR="00437E87" w:rsidRPr="0076294A">
        <w:rPr>
          <w:rFonts w:ascii="Times New Roman" w:hAnsi="Times New Roman" w:cs="Times New Roman"/>
          <w:sz w:val="24"/>
          <w:szCs w:val="24"/>
        </w:rPr>
        <w:t xml:space="preserve">XR-NTX </w:t>
      </w:r>
      <w:r w:rsidR="0071754B" w:rsidRPr="0076294A">
        <w:rPr>
          <w:rFonts w:ascii="Times New Roman" w:hAnsi="Times New Roman" w:cs="Times New Roman"/>
          <w:sz w:val="24"/>
          <w:szCs w:val="24"/>
        </w:rPr>
        <w:t>in reducing the rate of relapse when administered after</w:t>
      </w:r>
      <w:r w:rsidR="00437E87" w:rsidRPr="0076294A">
        <w:rPr>
          <w:rFonts w:ascii="Times New Roman" w:hAnsi="Times New Roman" w:cs="Times New Roman"/>
          <w:sz w:val="24"/>
          <w:szCs w:val="24"/>
        </w:rPr>
        <w:t xml:space="preserve"> </w:t>
      </w:r>
      <w:r w:rsidR="00301FE6" w:rsidRPr="0076294A">
        <w:rPr>
          <w:rFonts w:ascii="Times New Roman" w:hAnsi="Times New Roman" w:cs="Times New Roman"/>
          <w:sz w:val="24"/>
          <w:szCs w:val="24"/>
        </w:rPr>
        <w:t>opioid washout</w:t>
      </w:r>
      <w:r w:rsidR="0071754B" w:rsidRPr="0076294A">
        <w:rPr>
          <w:rFonts w:ascii="Times New Roman" w:hAnsi="Times New Roman" w:cs="Times New Roman"/>
          <w:sz w:val="24"/>
          <w:szCs w:val="24"/>
        </w:rPr>
        <w:t>. However, the exclusion criteria of patients actively using opioids outlines a gap in research in exploring the effectiveness of  XR-NTX in reducing the rate of relapse and treating opioid dependence in patients actively abusing Opioids</w:t>
      </w:r>
      <w:r w:rsidR="008B181D" w:rsidRPr="0076294A">
        <w:rPr>
          <w:rFonts w:ascii="Times New Roman" w:hAnsi="Times New Roman" w:cs="Times New Roman"/>
          <w:sz w:val="24"/>
          <w:szCs w:val="24"/>
        </w:rPr>
        <w:t xml:space="preserve"> and when administered in detoxification</w:t>
      </w:r>
      <w:r w:rsidR="0071754B" w:rsidRPr="0076294A">
        <w:rPr>
          <w:rFonts w:ascii="Times New Roman" w:hAnsi="Times New Roman" w:cs="Times New Roman"/>
          <w:sz w:val="24"/>
          <w:szCs w:val="24"/>
        </w:rPr>
        <w:t>. Su</w:t>
      </w:r>
      <w:r w:rsidR="00437E87" w:rsidRPr="0076294A">
        <w:rPr>
          <w:rFonts w:ascii="Times New Roman" w:hAnsi="Times New Roman" w:cs="Times New Roman"/>
          <w:sz w:val="24"/>
          <w:szCs w:val="24"/>
        </w:rPr>
        <w:t xml:space="preserve">llivan et al., (2017) </w:t>
      </w:r>
      <w:r w:rsidR="0071754B" w:rsidRPr="0076294A">
        <w:rPr>
          <w:rFonts w:ascii="Times New Roman" w:hAnsi="Times New Roman" w:cs="Times New Roman"/>
          <w:sz w:val="24"/>
          <w:szCs w:val="24"/>
        </w:rPr>
        <w:t xml:space="preserve">study were unique, as it is the only study that administered </w:t>
      </w:r>
      <w:r w:rsidR="000A471B" w:rsidRPr="0076294A">
        <w:rPr>
          <w:rFonts w:ascii="Times New Roman" w:hAnsi="Times New Roman" w:cs="Times New Roman"/>
          <w:sz w:val="24"/>
          <w:szCs w:val="24"/>
        </w:rPr>
        <w:t>XR-NTX as a mode of detoxification</w:t>
      </w:r>
      <w:r w:rsidR="008B181D" w:rsidRPr="0076294A">
        <w:rPr>
          <w:rFonts w:ascii="Times New Roman" w:hAnsi="Times New Roman" w:cs="Times New Roman"/>
          <w:sz w:val="24"/>
          <w:szCs w:val="24"/>
        </w:rPr>
        <w:t xml:space="preserve">, which weakens the reliability of XR-NTX effectiveness from the research findings. </w:t>
      </w:r>
    </w:p>
    <w:p w:rsidR="005A5197"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From the synthesis findings, </w:t>
      </w:r>
      <w:r w:rsidR="008F025B" w:rsidRPr="0076294A">
        <w:rPr>
          <w:rFonts w:ascii="Times New Roman" w:hAnsi="Times New Roman" w:cs="Times New Roman"/>
          <w:sz w:val="24"/>
          <w:szCs w:val="24"/>
        </w:rPr>
        <w:t>no study focused on the cost-effectiveness of XR-NTX and the various factors that contributed to the patient preference of XR-NTX. However, Opheim et al. (2021)</w:t>
      </w:r>
      <w:r w:rsidRPr="0076294A">
        <w:rPr>
          <w:rFonts w:ascii="Times New Roman" w:hAnsi="Times New Roman" w:cs="Times New Roman"/>
          <w:sz w:val="24"/>
          <w:szCs w:val="24"/>
        </w:rPr>
        <w:t xml:space="preserve"> mentioned that more</w:t>
      </w:r>
      <w:r w:rsidR="008F025B" w:rsidRPr="0076294A">
        <w:rPr>
          <w:rFonts w:ascii="Times New Roman" w:hAnsi="Times New Roman" w:cs="Times New Roman"/>
          <w:sz w:val="24"/>
          <w:szCs w:val="24"/>
        </w:rPr>
        <w:t xml:space="preserve"> patient</w:t>
      </w:r>
      <w:r w:rsidRPr="0076294A">
        <w:rPr>
          <w:rFonts w:ascii="Times New Roman" w:hAnsi="Times New Roman" w:cs="Times New Roman"/>
          <w:sz w:val="24"/>
          <w:szCs w:val="24"/>
        </w:rPr>
        <w:t>s preferred</w:t>
      </w:r>
      <w:r w:rsidR="008F025B" w:rsidRPr="0076294A">
        <w:rPr>
          <w:rFonts w:ascii="Times New Roman" w:hAnsi="Times New Roman" w:cs="Times New Roman"/>
          <w:sz w:val="24"/>
          <w:szCs w:val="24"/>
        </w:rPr>
        <w:t xml:space="preserve"> XR-NTX over BUP-NLX. However</w:t>
      </w:r>
      <w:r w:rsidRPr="0076294A">
        <w:rPr>
          <w:rFonts w:ascii="Times New Roman" w:hAnsi="Times New Roman" w:cs="Times New Roman"/>
          <w:sz w:val="24"/>
          <w:szCs w:val="24"/>
        </w:rPr>
        <w:t>, the study fails to provide extensive data</w:t>
      </w:r>
      <w:r w:rsidR="00527D55" w:rsidRPr="0076294A">
        <w:rPr>
          <w:rFonts w:ascii="Times New Roman" w:hAnsi="Times New Roman" w:cs="Times New Roman"/>
          <w:sz w:val="24"/>
          <w:szCs w:val="24"/>
        </w:rPr>
        <w:t>.</w:t>
      </w:r>
      <w:r w:rsidR="00D85646" w:rsidRPr="0076294A">
        <w:rPr>
          <w:rFonts w:ascii="Times New Roman" w:hAnsi="Times New Roman" w:cs="Times New Roman"/>
          <w:sz w:val="24"/>
          <w:szCs w:val="24"/>
        </w:rPr>
        <w:t xml:space="preserve"> Additional research is required to determine the factors that lead to patient preferences of XR-NTX as compared to BUP.NLX</w:t>
      </w:r>
      <w:r w:rsidR="0019309D" w:rsidRPr="0076294A">
        <w:rPr>
          <w:rFonts w:ascii="Times New Roman" w:hAnsi="Times New Roman" w:cs="Times New Roman"/>
          <w:sz w:val="24"/>
          <w:szCs w:val="24"/>
        </w:rPr>
        <w:t xml:space="preserve">. </w:t>
      </w:r>
    </w:p>
    <w:p w:rsidR="00581340" w:rsidRPr="0076294A" w:rsidRDefault="00B90204"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Recommendations</w:t>
      </w:r>
    </w:p>
    <w:p w:rsidR="00D85646"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Past research outline the effectiveness of Naltrexone XR-NTX</w:t>
      </w:r>
      <w:r w:rsidRPr="0076294A">
        <w:rPr>
          <w:rFonts w:ascii="Times New Roman" w:hAnsi="Times New Roman" w:cs="Times New Roman"/>
          <w:sz w:val="24"/>
          <w:szCs w:val="24"/>
        </w:rPr>
        <w:t xml:space="preserve"> in reducing the relapse rate in patients with opioid dependency who show common withdrawal symptoms</w:t>
      </w:r>
      <w:r w:rsidR="00197024" w:rsidRPr="0076294A">
        <w:rPr>
          <w:rFonts w:ascii="Times New Roman" w:hAnsi="Times New Roman" w:cs="Times New Roman"/>
          <w:sz w:val="24"/>
          <w:szCs w:val="24"/>
        </w:rPr>
        <w:t>(Ophium et al., 2016; Saeed &amp; Stanciu, 2019; Nunes et al., 2021, Sullivan et al., 2017)</w:t>
      </w:r>
      <w:r w:rsidRPr="0076294A">
        <w:rPr>
          <w:rFonts w:ascii="Times New Roman" w:hAnsi="Times New Roman" w:cs="Times New Roman"/>
          <w:sz w:val="24"/>
          <w:szCs w:val="24"/>
        </w:rPr>
        <w:t>.</w:t>
      </w:r>
      <w:r w:rsidR="006E1CDE" w:rsidRPr="0076294A">
        <w:rPr>
          <w:rFonts w:ascii="Times New Roman" w:hAnsi="Times New Roman" w:cs="Times New Roman"/>
          <w:sz w:val="24"/>
          <w:szCs w:val="24"/>
        </w:rPr>
        <w:t xml:space="preserve"> </w:t>
      </w:r>
      <w:r w:rsidR="00422626" w:rsidRPr="0076294A">
        <w:rPr>
          <w:rFonts w:ascii="Times New Roman" w:hAnsi="Times New Roman" w:cs="Times New Roman"/>
          <w:sz w:val="24"/>
          <w:szCs w:val="24"/>
        </w:rPr>
        <w:t xml:space="preserve">However, substantial research gaps prohibit its effectiveness in use. In all the reviewed studies, therapists required that patients thoroughly detoxify opioid drugs before administering </w:t>
      </w:r>
      <w:r w:rsidR="00164397">
        <w:rPr>
          <w:rFonts w:ascii="Times New Roman" w:hAnsi="Times New Roman" w:cs="Times New Roman"/>
          <w:sz w:val="24"/>
          <w:szCs w:val="24"/>
        </w:rPr>
        <w:t>XR-NTX</w:t>
      </w:r>
      <w:r w:rsidR="00422626" w:rsidRPr="0076294A">
        <w:rPr>
          <w:rFonts w:ascii="Times New Roman" w:hAnsi="Times New Roman" w:cs="Times New Roman"/>
          <w:sz w:val="24"/>
          <w:szCs w:val="24"/>
        </w:rPr>
        <w:t xml:space="preserve"> therapy; the medication was only administered when 1 or more withdrawa</w:t>
      </w:r>
      <w:r w:rsidR="00C914C3" w:rsidRPr="0076294A">
        <w:rPr>
          <w:rFonts w:ascii="Times New Roman" w:hAnsi="Times New Roman" w:cs="Times New Roman"/>
          <w:sz w:val="24"/>
          <w:szCs w:val="24"/>
        </w:rPr>
        <w:t>l</w:t>
      </w:r>
      <w:r w:rsidR="00422626" w:rsidRPr="0076294A">
        <w:rPr>
          <w:rFonts w:ascii="Times New Roman" w:hAnsi="Times New Roman" w:cs="Times New Roman"/>
          <w:sz w:val="24"/>
          <w:szCs w:val="24"/>
        </w:rPr>
        <w:t xml:space="preserve"> symptoms were visible. </w:t>
      </w:r>
      <w:r w:rsidR="009E5662" w:rsidRPr="0076294A">
        <w:rPr>
          <w:rFonts w:ascii="Times New Roman" w:hAnsi="Times New Roman" w:cs="Times New Roman"/>
          <w:sz w:val="24"/>
          <w:szCs w:val="24"/>
        </w:rPr>
        <w:t xml:space="preserve">Detoxifying medications used in the studies were omitted, leaving out information of </w:t>
      </w:r>
      <w:r w:rsidR="00164397">
        <w:rPr>
          <w:rFonts w:ascii="Times New Roman" w:hAnsi="Times New Roman" w:cs="Times New Roman"/>
          <w:sz w:val="24"/>
          <w:szCs w:val="24"/>
        </w:rPr>
        <w:t>XR-NTX</w:t>
      </w:r>
      <w:r w:rsidR="009E5662" w:rsidRPr="0076294A">
        <w:rPr>
          <w:rFonts w:ascii="Times New Roman" w:hAnsi="Times New Roman" w:cs="Times New Roman"/>
          <w:sz w:val="24"/>
          <w:szCs w:val="24"/>
        </w:rPr>
        <w:t xml:space="preserve"> effectiveness and medical interaction when </w:t>
      </w:r>
      <w:r w:rsidR="00164397">
        <w:rPr>
          <w:rFonts w:ascii="Times New Roman" w:hAnsi="Times New Roman" w:cs="Times New Roman"/>
          <w:sz w:val="24"/>
          <w:szCs w:val="24"/>
        </w:rPr>
        <w:t>XR-NTX</w:t>
      </w:r>
      <w:r w:rsidR="00DF4077" w:rsidRPr="0076294A">
        <w:rPr>
          <w:rFonts w:ascii="Times New Roman" w:hAnsi="Times New Roman" w:cs="Times New Roman"/>
          <w:sz w:val="24"/>
          <w:szCs w:val="24"/>
        </w:rPr>
        <w:t xml:space="preserve"> is</w:t>
      </w:r>
      <w:r w:rsidR="009E5662" w:rsidRPr="0076294A">
        <w:rPr>
          <w:rFonts w:ascii="Times New Roman" w:hAnsi="Times New Roman" w:cs="Times New Roman"/>
          <w:sz w:val="24"/>
          <w:szCs w:val="24"/>
        </w:rPr>
        <w:t xml:space="preserve"> administered before a thorough opioid washout. </w:t>
      </w:r>
    </w:p>
    <w:p w:rsidR="006C581B"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The research </w:t>
      </w:r>
      <w:r w:rsidR="00840411" w:rsidRPr="0076294A">
        <w:rPr>
          <w:rFonts w:ascii="Times New Roman" w:hAnsi="Times New Roman" w:cs="Times New Roman"/>
          <w:sz w:val="24"/>
          <w:szCs w:val="24"/>
        </w:rPr>
        <w:t>outlined different social,</w:t>
      </w:r>
      <w:r w:rsidRPr="0076294A">
        <w:rPr>
          <w:rFonts w:ascii="Times New Roman" w:hAnsi="Times New Roman" w:cs="Times New Roman"/>
          <w:sz w:val="24"/>
          <w:szCs w:val="24"/>
        </w:rPr>
        <w:t xml:space="preserve"> demographic</w:t>
      </w:r>
      <w:r w:rsidR="00840411" w:rsidRPr="0076294A">
        <w:rPr>
          <w:rFonts w:ascii="Times New Roman" w:hAnsi="Times New Roman" w:cs="Times New Roman"/>
          <w:sz w:val="24"/>
          <w:szCs w:val="24"/>
        </w:rPr>
        <w:t>, and environmental</w:t>
      </w:r>
      <w:r w:rsidRPr="0076294A">
        <w:rPr>
          <w:rFonts w:ascii="Times New Roman" w:hAnsi="Times New Roman" w:cs="Times New Roman"/>
          <w:sz w:val="24"/>
          <w:szCs w:val="24"/>
        </w:rPr>
        <w:t xml:space="preserve"> factors that contributed to the effectiveness of </w:t>
      </w:r>
      <w:r w:rsidR="00164397">
        <w:rPr>
          <w:rFonts w:ascii="Times New Roman" w:hAnsi="Times New Roman" w:cs="Times New Roman"/>
          <w:sz w:val="24"/>
          <w:szCs w:val="24"/>
        </w:rPr>
        <w:t>XR-NTX</w:t>
      </w:r>
      <w:r w:rsidRPr="0076294A">
        <w:rPr>
          <w:rFonts w:ascii="Times New Roman" w:hAnsi="Times New Roman" w:cs="Times New Roman"/>
          <w:sz w:val="24"/>
          <w:szCs w:val="24"/>
        </w:rPr>
        <w:t xml:space="preserve"> administration. </w:t>
      </w:r>
      <w:r w:rsidR="00974BCD" w:rsidRPr="0076294A">
        <w:rPr>
          <w:rFonts w:ascii="Times New Roman" w:hAnsi="Times New Roman" w:cs="Times New Roman"/>
          <w:sz w:val="24"/>
          <w:szCs w:val="24"/>
        </w:rPr>
        <w:t xml:space="preserve">Social factors such as homelessness outlined that </w:t>
      </w:r>
      <w:r w:rsidR="00164397">
        <w:rPr>
          <w:rFonts w:ascii="Times New Roman" w:hAnsi="Times New Roman" w:cs="Times New Roman"/>
          <w:sz w:val="24"/>
          <w:szCs w:val="24"/>
        </w:rPr>
        <w:t>XR-NTX</w:t>
      </w:r>
      <w:r w:rsidR="00974BCD" w:rsidRPr="0076294A">
        <w:rPr>
          <w:rFonts w:ascii="Times New Roman" w:hAnsi="Times New Roman" w:cs="Times New Roman"/>
          <w:sz w:val="24"/>
          <w:szCs w:val="24"/>
        </w:rPr>
        <w:t xml:space="preserve"> was more effective when administered after the elevation of social factors such as homelessness </w:t>
      </w:r>
      <w:r w:rsidR="009C74CB" w:rsidRPr="0076294A">
        <w:rPr>
          <w:rFonts w:ascii="Times New Roman" w:hAnsi="Times New Roman" w:cs="Times New Roman"/>
          <w:sz w:val="24"/>
          <w:szCs w:val="24"/>
        </w:rPr>
        <w:t xml:space="preserve">proved effective. </w:t>
      </w:r>
      <w:r w:rsidR="00772F2E" w:rsidRPr="0076294A">
        <w:rPr>
          <w:rFonts w:ascii="Times New Roman" w:hAnsi="Times New Roman" w:cs="Times New Roman"/>
          <w:sz w:val="24"/>
          <w:szCs w:val="24"/>
        </w:rPr>
        <w:t xml:space="preserve">Ophium et al. (2021) outline patient preference as a significant consideration in drug choice and retention. Numerous factors influence patient preferences, such as cost-effectiveness and drug tolerability. Sullivan et al. (2017) outline various demographic factors and their influence on drug choice. </w:t>
      </w:r>
      <w:r w:rsidR="009018AB" w:rsidRPr="0076294A">
        <w:rPr>
          <w:rFonts w:ascii="Times New Roman" w:hAnsi="Times New Roman" w:cs="Times New Roman"/>
          <w:sz w:val="24"/>
          <w:szCs w:val="24"/>
        </w:rPr>
        <w:t xml:space="preserve">However, the cost-effectiveness of </w:t>
      </w:r>
      <w:r w:rsidR="00164397">
        <w:rPr>
          <w:rFonts w:ascii="Times New Roman" w:hAnsi="Times New Roman" w:cs="Times New Roman"/>
          <w:sz w:val="24"/>
          <w:szCs w:val="24"/>
        </w:rPr>
        <w:t>XR-NTX</w:t>
      </w:r>
      <w:r w:rsidR="009018AB" w:rsidRPr="0076294A">
        <w:rPr>
          <w:rFonts w:ascii="Times New Roman" w:hAnsi="Times New Roman" w:cs="Times New Roman"/>
          <w:sz w:val="24"/>
          <w:szCs w:val="24"/>
        </w:rPr>
        <w:t xml:space="preserve"> in informing patient choice for the drug is yet to be determined. </w:t>
      </w:r>
      <w:r w:rsidRPr="0076294A">
        <w:rPr>
          <w:rFonts w:ascii="Times New Roman" w:hAnsi="Times New Roman" w:cs="Times New Roman"/>
          <w:sz w:val="24"/>
          <w:szCs w:val="24"/>
        </w:rPr>
        <w:t xml:space="preserve">The effects of long-term administration of </w:t>
      </w:r>
      <w:r w:rsidR="00164397">
        <w:rPr>
          <w:rFonts w:ascii="Times New Roman" w:hAnsi="Times New Roman" w:cs="Times New Roman"/>
          <w:sz w:val="24"/>
          <w:szCs w:val="24"/>
        </w:rPr>
        <w:t>XR-NTX</w:t>
      </w:r>
      <w:r w:rsidRPr="0076294A">
        <w:rPr>
          <w:rFonts w:ascii="Times New Roman" w:hAnsi="Times New Roman" w:cs="Times New Roman"/>
          <w:sz w:val="24"/>
          <w:szCs w:val="24"/>
        </w:rPr>
        <w:t xml:space="preserve"> are also omitted in the present studies.</w:t>
      </w:r>
    </w:p>
    <w:p w:rsidR="00B0509D" w:rsidRPr="0076294A" w:rsidRDefault="005F16C0" w:rsidP="0076294A">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Daily administration of small doses of </w:t>
      </w:r>
      <w:r w:rsidR="00164397">
        <w:rPr>
          <w:rFonts w:ascii="Times New Roman" w:hAnsi="Times New Roman" w:cs="Times New Roman"/>
          <w:sz w:val="24"/>
          <w:szCs w:val="24"/>
        </w:rPr>
        <w:t>XR-NTX</w:t>
      </w:r>
      <w:r w:rsidR="00F82BBA" w:rsidRPr="0076294A">
        <w:rPr>
          <w:rFonts w:ascii="Times New Roman" w:hAnsi="Times New Roman" w:cs="Times New Roman"/>
          <w:sz w:val="24"/>
          <w:szCs w:val="24"/>
        </w:rPr>
        <w:t xml:space="preserve"> also proved effective in preventing relapse among adults with opioid dependency. Even though some studies rated low on the USPFT scale due to limited data provided on the research methodology and data analysis methods. The study outlined the effectiveness of </w:t>
      </w:r>
      <w:r w:rsidR="00164397">
        <w:rPr>
          <w:rFonts w:ascii="Times New Roman" w:hAnsi="Times New Roman" w:cs="Times New Roman"/>
          <w:sz w:val="24"/>
          <w:szCs w:val="24"/>
        </w:rPr>
        <w:t>XR-NTX</w:t>
      </w:r>
      <w:r w:rsidR="00F82BBA" w:rsidRPr="0076294A">
        <w:rPr>
          <w:rFonts w:ascii="Times New Roman" w:hAnsi="Times New Roman" w:cs="Times New Roman"/>
          <w:sz w:val="24"/>
          <w:szCs w:val="24"/>
        </w:rPr>
        <w:t xml:space="preserve">. However, monthly dosses of </w:t>
      </w:r>
      <w:r w:rsidR="00164397">
        <w:rPr>
          <w:rFonts w:ascii="Times New Roman" w:hAnsi="Times New Roman" w:cs="Times New Roman"/>
          <w:sz w:val="24"/>
          <w:szCs w:val="24"/>
        </w:rPr>
        <w:t>XR-NTX</w:t>
      </w:r>
      <w:r w:rsidR="00F82BBA" w:rsidRPr="0076294A">
        <w:rPr>
          <w:rFonts w:ascii="Times New Roman" w:hAnsi="Times New Roman" w:cs="Times New Roman"/>
          <w:sz w:val="24"/>
          <w:szCs w:val="24"/>
        </w:rPr>
        <w:t xml:space="preserve"> were more effective in eliminating relapse. Hence 380mg monthly administration of </w:t>
      </w:r>
      <w:r w:rsidR="00164397">
        <w:rPr>
          <w:rFonts w:ascii="Times New Roman" w:hAnsi="Times New Roman" w:cs="Times New Roman"/>
          <w:sz w:val="24"/>
          <w:szCs w:val="24"/>
        </w:rPr>
        <w:t>XR-NTX</w:t>
      </w:r>
      <w:r w:rsidR="00F82BBA" w:rsidRPr="0076294A">
        <w:rPr>
          <w:rFonts w:ascii="Times New Roman" w:hAnsi="Times New Roman" w:cs="Times New Roman"/>
          <w:sz w:val="24"/>
          <w:szCs w:val="24"/>
        </w:rPr>
        <w:t xml:space="preserve"> should be considered in treating patients with opioid dependency </w:t>
      </w:r>
      <w:r w:rsidR="009C1CAB" w:rsidRPr="0076294A">
        <w:rPr>
          <w:rFonts w:ascii="Times New Roman" w:hAnsi="Times New Roman" w:cs="Times New Roman"/>
          <w:sz w:val="24"/>
          <w:szCs w:val="24"/>
        </w:rPr>
        <w:t xml:space="preserve">showing symptoms of opioid withdrawal to aid in eliminating the occurrence of relapse thoughts. </w:t>
      </w:r>
      <w:r w:rsidR="004B01CB" w:rsidRPr="0076294A">
        <w:rPr>
          <w:rFonts w:ascii="Times New Roman" w:hAnsi="Times New Roman" w:cs="Times New Roman"/>
          <w:sz w:val="24"/>
          <w:szCs w:val="24"/>
        </w:rPr>
        <w:t xml:space="preserve">However, </w:t>
      </w:r>
      <w:r w:rsidR="00164397">
        <w:rPr>
          <w:rFonts w:ascii="Times New Roman" w:hAnsi="Times New Roman" w:cs="Times New Roman"/>
          <w:sz w:val="24"/>
          <w:szCs w:val="24"/>
        </w:rPr>
        <w:t>XR-NTX</w:t>
      </w:r>
      <w:r w:rsidR="004B01CB" w:rsidRPr="0076294A">
        <w:rPr>
          <w:rFonts w:ascii="Times New Roman" w:hAnsi="Times New Roman" w:cs="Times New Roman"/>
          <w:sz w:val="24"/>
          <w:szCs w:val="24"/>
        </w:rPr>
        <w:t xml:space="preserve"> should not be administered in patients who are actively using opioids; detoxification should be considered before administering </w:t>
      </w:r>
      <w:r w:rsidR="00164397">
        <w:rPr>
          <w:rFonts w:ascii="Times New Roman" w:hAnsi="Times New Roman" w:cs="Times New Roman"/>
          <w:sz w:val="24"/>
          <w:szCs w:val="24"/>
        </w:rPr>
        <w:t>XR-NTX</w:t>
      </w:r>
      <w:r w:rsidR="004B01CB" w:rsidRPr="0076294A">
        <w:rPr>
          <w:rFonts w:ascii="Times New Roman" w:hAnsi="Times New Roman" w:cs="Times New Roman"/>
          <w:sz w:val="24"/>
          <w:szCs w:val="24"/>
        </w:rPr>
        <w:t xml:space="preserve">. Finally, </w:t>
      </w:r>
      <w:r w:rsidR="00164397">
        <w:rPr>
          <w:rFonts w:ascii="Times New Roman" w:hAnsi="Times New Roman" w:cs="Times New Roman"/>
          <w:sz w:val="24"/>
          <w:szCs w:val="24"/>
        </w:rPr>
        <w:t>XR-NTX</w:t>
      </w:r>
      <w:r w:rsidR="004B01CB" w:rsidRPr="0076294A">
        <w:rPr>
          <w:rFonts w:ascii="Times New Roman" w:hAnsi="Times New Roman" w:cs="Times New Roman"/>
          <w:sz w:val="24"/>
          <w:szCs w:val="24"/>
        </w:rPr>
        <w:t xml:space="preserve"> drugs should be made cost-friendly to enhance the patient preference for the medication. The research synthesis concluded that 380 mg of </w:t>
      </w:r>
      <w:r w:rsidR="00164397">
        <w:rPr>
          <w:rFonts w:ascii="Times New Roman" w:hAnsi="Times New Roman" w:cs="Times New Roman"/>
          <w:sz w:val="24"/>
          <w:szCs w:val="24"/>
        </w:rPr>
        <w:t>XR-NTX</w:t>
      </w:r>
      <w:r w:rsidR="004B01CB" w:rsidRPr="0076294A">
        <w:rPr>
          <w:rFonts w:ascii="Times New Roman" w:hAnsi="Times New Roman" w:cs="Times New Roman"/>
          <w:sz w:val="24"/>
          <w:szCs w:val="24"/>
        </w:rPr>
        <w:t xml:space="preserve"> administered monthly effectively reduced relapse among adults with opioid use dependency when other socio-dynamic factors such as the safety of the environment were considered.</w:t>
      </w:r>
    </w:p>
    <w:p w:rsidR="00B0509D" w:rsidRPr="0076294A" w:rsidRDefault="00B0509D" w:rsidP="00F779F6">
      <w:pPr>
        <w:spacing w:before="100" w:beforeAutospacing="1" w:after="100" w:afterAutospacing="1" w:line="480" w:lineRule="auto"/>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jc w:val="center"/>
        <w:rPr>
          <w:rFonts w:ascii="Times New Roman" w:hAnsi="Times New Roman" w:cs="Times New Roman"/>
          <w:sz w:val="24"/>
          <w:szCs w:val="24"/>
        </w:rPr>
      </w:pPr>
    </w:p>
    <w:p w:rsidR="00B90204" w:rsidRPr="0076294A" w:rsidRDefault="004B01CB" w:rsidP="00B90204">
      <w:pPr>
        <w:spacing w:before="100" w:beforeAutospacing="1" w:after="100" w:afterAutospacing="1" w:line="480" w:lineRule="auto"/>
        <w:ind w:firstLine="720"/>
        <w:jc w:val="center"/>
        <w:rPr>
          <w:rFonts w:ascii="Times New Roman" w:hAnsi="Times New Roman" w:cs="Times New Roman"/>
          <w:sz w:val="24"/>
          <w:szCs w:val="24"/>
        </w:rPr>
      </w:pPr>
      <w:r w:rsidRPr="0076294A">
        <w:rPr>
          <w:rFonts w:ascii="Times New Roman" w:hAnsi="Times New Roman" w:cs="Times New Roman"/>
          <w:sz w:val="24"/>
          <w:szCs w:val="24"/>
        </w:rPr>
        <w:t xml:space="preserve"> </w:t>
      </w:r>
      <w:r w:rsidR="00B90204" w:rsidRPr="0076294A">
        <w:rPr>
          <w:rFonts w:ascii="Times New Roman" w:hAnsi="Times New Roman" w:cs="Times New Roman"/>
          <w:sz w:val="24"/>
          <w:szCs w:val="24"/>
        </w:rPr>
        <w:t>References</w:t>
      </w:r>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shd w:val="clear" w:color="auto" w:fill="FFFFFF"/>
        </w:rPr>
      </w:pPr>
      <w:r w:rsidRPr="0076294A">
        <w:rPr>
          <w:rFonts w:ascii="Times New Roman" w:hAnsi="Times New Roman" w:cs="Times New Roman"/>
          <w:sz w:val="24"/>
          <w:szCs w:val="24"/>
        </w:rPr>
        <w:t>Blanco, C., &amp; Volkow, N. D. (2019). Management of opioid use disorder in the USA: present status and future directions. The Lancet, 393(10182), 1760-1772.</w:t>
      </w:r>
      <w:hyperlink r:id="rId8" w:tgtFrame="_blank" w:tooltip="Persistent link using digital object identifier" w:history="1">
        <w:r w:rsidRPr="0076294A">
          <w:rPr>
            <w:rStyle w:val="Hyperlink"/>
            <w:rFonts w:ascii="Times New Roman" w:hAnsi="Times New Roman" w:cs="Times New Roman"/>
            <w:color w:val="auto"/>
            <w:sz w:val="24"/>
            <w:szCs w:val="24"/>
          </w:rPr>
          <w:t>https://doi.org/10.1016/S0140-6736(18)33078-2</w:t>
        </w:r>
      </w:hyperlink>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rPr>
      </w:pPr>
      <w:r w:rsidRPr="0076294A">
        <w:rPr>
          <w:rFonts w:ascii="Times New Roman" w:hAnsi="Times New Roman" w:cs="Times New Roman"/>
          <w:sz w:val="24"/>
          <w:szCs w:val="24"/>
        </w:rPr>
        <w:t>Nunes Jr, E. V., Scodes, J. M., Pavlicova, M., Lee, J. D., Novo, P., Campbell, A. N., &amp; Rotrosen, J. (2021). Sublingual buprenorphine-naloxone compared with injection naltrexone for opioid use disorder: potential utility of patient characteristics in guiding choice of treatment. American Journal of Psychiatry, 178(7), 660-671.</w:t>
      </w:r>
      <w:r w:rsidRPr="0076294A">
        <w:rPr>
          <w:rStyle w:val="HeaderChar"/>
          <w:rFonts w:ascii="Times New Roman" w:hAnsi="Times New Roman" w:cs="Times New Roman"/>
          <w:sz w:val="24"/>
          <w:szCs w:val="24"/>
          <w:shd w:val="clear" w:color="auto" w:fill="FFFFFF"/>
        </w:rPr>
        <w:t xml:space="preserve"> </w:t>
      </w:r>
      <w:r w:rsidRPr="0076294A">
        <w:rPr>
          <w:rStyle w:val="epub-sectiondate"/>
          <w:rFonts w:ascii="Times New Roman" w:hAnsi="Times New Roman" w:cs="Times New Roman"/>
          <w:sz w:val="24"/>
          <w:szCs w:val="24"/>
          <w:shd w:val="clear" w:color="auto" w:fill="FFFFFF"/>
        </w:rPr>
        <w:t>1</w:t>
      </w:r>
      <w:hyperlink r:id="rId9" w:history="1">
        <w:r w:rsidRPr="0076294A">
          <w:rPr>
            <w:rStyle w:val="Hyperlink"/>
            <w:rFonts w:ascii="Times New Roman" w:hAnsi="Times New Roman" w:cs="Times New Roman"/>
            <w:color w:val="auto"/>
            <w:sz w:val="24"/>
            <w:szCs w:val="24"/>
          </w:rPr>
          <w:t>https://doi.org/10.1176/appi.ajp.2020.20060816</w:t>
        </w:r>
      </w:hyperlink>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rPr>
      </w:pPr>
      <w:r w:rsidRPr="0076294A">
        <w:rPr>
          <w:rFonts w:ascii="Times New Roman" w:hAnsi="Times New Roman" w:cs="Times New Roman"/>
          <w:sz w:val="24"/>
          <w:szCs w:val="24"/>
        </w:rPr>
        <w:t>Opheim, A., Gaulen, Z., Solli, K. K., Latif, Z. E. H., Fadnes, L. T., Benth, J. Š., ... &amp; Tanum, L. (2021). Risk of Relapse Among Opioid‐Dependent Patients Treated With Extended‐Release Naltrexone or Buprenorphine‐Naloxone: A Randomized Clinical Trial. The American Journal on Addictions, 30(5), 453-46</w:t>
      </w:r>
      <w:bookmarkStart w:id="0" w:name="_GoBack"/>
      <w:r w:rsidRPr="0076294A">
        <w:rPr>
          <w:rFonts w:ascii="Times New Roman" w:hAnsi="Times New Roman" w:cs="Times New Roman"/>
          <w:b/>
          <w:sz w:val="24"/>
          <w:szCs w:val="24"/>
        </w:rPr>
        <w:t xml:space="preserve">0. </w:t>
      </w:r>
      <w:hyperlink r:id="rId10" w:history="1">
        <w:r w:rsidRPr="0076294A">
          <w:rPr>
            <w:rStyle w:val="Hyperlink"/>
            <w:rFonts w:ascii="Times New Roman" w:hAnsi="Times New Roman" w:cs="Times New Roman"/>
            <w:b/>
            <w:bCs/>
            <w:color w:val="auto"/>
            <w:sz w:val="24"/>
            <w:szCs w:val="24"/>
            <w:shd w:val="clear" w:color="auto" w:fill="FFFFFF"/>
          </w:rPr>
          <w:t>https://doi.org/10.1111/ajad.13151</w:t>
        </w:r>
      </w:hyperlink>
      <w:bookmarkEnd w:id="0"/>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rPr>
      </w:pPr>
      <w:r w:rsidRPr="0076294A">
        <w:rPr>
          <w:rFonts w:ascii="Times New Roman" w:hAnsi="Times New Roman" w:cs="Times New Roman"/>
          <w:sz w:val="24"/>
          <w:szCs w:val="24"/>
        </w:rPr>
        <w:t>Rasmussen, K., White, D. A., &amp; Acri, J. B. (2019). NIDA’s medication development priorities in response to the Opioid Crisis: ten most wanted. Neuropsychopharmacology, 44(4), 657-659.</w:t>
      </w:r>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rPr>
      </w:pPr>
      <w:r w:rsidRPr="0076294A">
        <w:rPr>
          <w:rFonts w:ascii="Times New Roman" w:hAnsi="Times New Roman" w:cs="Times New Roman"/>
          <w:sz w:val="24"/>
          <w:szCs w:val="24"/>
        </w:rPr>
        <w:t xml:space="preserve">Saeed, S. A., &amp; Stanciu, C. (2019). Injectable extended-release Naltrexone for opioid dependence: 3 studies. Current Psychiatry, 18(1), 39. </w:t>
      </w:r>
    </w:p>
    <w:p w:rsidR="00B90204" w:rsidRPr="0076294A" w:rsidRDefault="00B90204" w:rsidP="00B90204">
      <w:pPr>
        <w:spacing w:before="100" w:beforeAutospacing="1" w:after="100" w:afterAutospacing="1" w:line="480" w:lineRule="auto"/>
        <w:ind w:left="720" w:hanging="720"/>
        <w:rPr>
          <w:rFonts w:ascii="Times New Roman" w:hAnsi="Times New Roman" w:cs="Times New Roman"/>
          <w:sz w:val="24"/>
          <w:szCs w:val="24"/>
        </w:rPr>
      </w:pPr>
      <w:r w:rsidRPr="0076294A">
        <w:rPr>
          <w:rFonts w:ascii="Times New Roman" w:hAnsi="Times New Roman" w:cs="Times New Roman"/>
          <w:sz w:val="24"/>
          <w:szCs w:val="24"/>
          <w:shd w:val="clear" w:color="auto" w:fill="FFFFFF"/>
        </w:rPr>
        <w:t xml:space="preserve">Sullivan, M., Bisaga, A., Pavlova, M., Choi, C. J., Mishler, K., Carpenter, K. M., ... &amp; Nunes, E. V. (2017). Long-acting injectable naltrexone induction: a randomized trial of outpatient opioid detoxification with Naltrexone versus buprenorphine. </w:t>
      </w:r>
      <w:r w:rsidRPr="0076294A">
        <w:rPr>
          <w:rFonts w:ascii="Times New Roman" w:hAnsi="Times New Roman" w:cs="Times New Roman"/>
          <w:i/>
          <w:iCs/>
          <w:sz w:val="24"/>
          <w:szCs w:val="24"/>
          <w:shd w:val="clear" w:color="auto" w:fill="FFFFFF"/>
        </w:rPr>
        <w:t>American Journal of Psychiatry</w:t>
      </w:r>
      <w:r w:rsidRPr="0076294A">
        <w:rPr>
          <w:rFonts w:ascii="Times New Roman" w:hAnsi="Times New Roman" w:cs="Times New Roman"/>
          <w:sz w:val="24"/>
          <w:szCs w:val="24"/>
          <w:shd w:val="clear" w:color="auto" w:fill="FFFFFF"/>
        </w:rPr>
        <w:t>, </w:t>
      </w:r>
      <w:r w:rsidRPr="0076294A">
        <w:rPr>
          <w:rFonts w:ascii="Times New Roman" w:hAnsi="Times New Roman" w:cs="Times New Roman"/>
          <w:i/>
          <w:iCs/>
          <w:sz w:val="24"/>
          <w:szCs w:val="24"/>
          <w:shd w:val="clear" w:color="auto" w:fill="FFFFFF"/>
        </w:rPr>
        <w:t>174</w:t>
      </w:r>
      <w:r w:rsidRPr="0076294A">
        <w:rPr>
          <w:rFonts w:ascii="Times New Roman" w:hAnsi="Times New Roman" w:cs="Times New Roman"/>
          <w:sz w:val="24"/>
          <w:szCs w:val="24"/>
          <w:shd w:val="clear" w:color="auto" w:fill="FFFFFF"/>
        </w:rPr>
        <w:t>(5), 459-467.</w:t>
      </w:r>
      <w:r w:rsidRPr="0076294A">
        <w:rPr>
          <w:rFonts w:ascii="Times New Roman" w:hAnsi="Times New Roman" w:cs="Times New Roman"/>
          <w:sz w:val="24"/>
          <w:szCs w:val="24"/>
        </w:rPr>
        <w:t xml:space="preserve"> </w:t>
      </w:r>
      <w:hyperlink r:id="rId11" w:tgtFrame="_blank" w:history="1">
        <w:r w:rsidRPr="0076294A">
          <w:rPr>
            <w:rStyle w:val="Hyperlink"/>
            <w:rFonts w:ascii="Times New Roman" w:hAnsi="Times New Roman" w:cs="Times New Roman"/>
            <w:color w:val="auto"/>
            <w:sz w:val="24"/>
            <w:szCs w:val="24"/>
            <w:shd w:val="clear" w:color="auto" w:fill="FFFFFF"/>
          </w:rPr>
          <w:t>https://doi.org/10.1176/appi.ajp.2018.17070732</w:t>
        </w:r>
      </w:hyperlink>
    </w:p>
    <w:p w:rsidR="00FD2426" w:rsidRPr="0076294A" w:rsidRDefault="00FD2426"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rPr>
          <w:rFonts w:ascii="Times New Roman" w:hAnsi="Times New Roman" w:cs="Times New Roman"/>
          <w:sz w:val="24"/>
          <w:szCs w:val="24"/>
        </w:rPr>
      </w:pPr>
    </w:p>
    <w:p w:rsidR="00B0509D" w:rsidRPr="0076294A" w:rsidRDefault="00B0509D"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B90204" w:rsidRPr="0076294A" w:rsidRDefault="00B90204" w:rsidP="00B90204">
      <w:pPr>
        <w:spacing w:before="100" w:beforeAutospacing="1" w:after="100" w:afterAutospacing="1" w:line="480" w:lineRule="auto"/>
        <w:ind w:firstLine="720"/>
        <w:rPr>
          <w:rFonts w:ascii="Times New Roman" w:hAnsi="Times New Roman" w:cs="Times New Roman"/>
          <w:sz w:val="24"/>
          <w:szCs w:val="24"/>
        </w:rPr>
      </w:pPr>
    </w:p>
    <w:p w:rsidR="00581340" w:rsidRPr="0076294A" w:rsidRDefault="005F16C0" w:rsidP="00B90204">
      <w:pPr>
        <w:spacing w:before="100" w:beforeAutospacing="1" w:after="100" w:afterAutospacing="1" w:line="480" w:lineRule="auto"/>
        <w:ind w:firstLine="720"/>
        <w:jc w:val="center"/>
        <w:rPr>
          <w:rFonts w:ascii="Times New Roman" w:hAnsi="Times New Roman" w:cs="Times New Roman"/>
          <w:b/>
          <w:sz w:val="24"/>
          <w:szCs w:val="24"/>
        </w:rPr>
      </w:pPr>
      <w:r w:rsidRPr="0076294A">
        <w:rPr>
          <w:rFonts w:ascii="Times New Roman" w:hAnsi="Times New Roman" w:cs="Times New Roman"/>
          <w:b/>
          <w:sz w:val="24"/>
          <w:szCs w:val="24"/>
        </w:rPr>
        <w:t>Appendix</w:t>
      </w:r>
      <w:r w:rsidR="00434759" w:rsidRPr="0076294A">
        <w:rPr>
          <w:rFonts w:ascii="Times New Roman" w:hAnsi="Times New Roman" w:cs="Times New Roman"/>
          <w:b/>
          <w:sz w:val="24"/>
          <w:szCs w:val="24"/>
        </w:rPr>
        <w:t xml:space="preserve"> 1</w:t>
      </w:r>
      <w:r w:rsidR="00F779F6" w:rsidRPr="0076294A">
        <w:rPr>
          <w:rFonts w:ascii="Times New Roman" w:hAnsi="Times New Roman" w:cs="Times New Roman"/>
          <w:b/>
          <w:sz w:val="24"/>
          <w:szCs w:val="24"/>
        </w:rPr>
        <w:t>:</w:t>
      </w:r>
      <w:r w:rsidR="00B90204" w:rsidRPr="0076294A">
        <w:rPr>
          <w:rFonts w:ascii="Times New Roman" w:hAnsi="Times New Roman" w:cs="Times New Roman"/>
          <w:b/>
          <w:sz w:val="24"/>
          <w:szCs w:val="24"/>
        </w:rPr>
        <w:t xml:space="preserve"> strength and weakness table</w:t>
      </w:r>
    </w:p>
    <w:tbl>
      <w:tblPr>
        <w:tblW w:w="10856" w:type="dxa"/>
        <w:jc w:val="center"/>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45"/>
        <w:gridCol w:w="3420"/>
        <w:gridCol w:w="270"/>
        <w:gridCol w:w="1080"/>
        <w:gridCol w:w="4841"/>
      </w:tblGrid>
      <w:tr w:rsidR="0076294A" w:rsidRPr="0076294A" w:rsidTr="00B90204">
        <w:trPr>
          <w:trHeight w:val="988"/>
          <w:jc w:val="center"/>
        </w:trPr>
        <w:tc>
          <w:tcPr>
            <w:tcW w:w="10856" w:type="dxa"/>
            <w:gridSpan w:val="5"/>
            <w:shd w:val="clear" w:color="auto" w:fill="FFFFFF" w:themeFill="background1"/>
          </w:tcPr>
          <w:p w:rsidR="00066E04" w:rsidRPr="0076294A" w:rsidRDefault="00066E04" w:rsidP="00B90204">
            <w:pPr>
              <w:spacing w:before="100" w:beforeAutospacing="1" w:after="100" w:afterAutospacing="1"/>
              <w:rPr>
                <w:b/>
                <w:sz w:val="20"/>
                <w:szCs w:val="20"/>
              </w:rPr>
            </w:pPr>
            <w:r w:rsidRPr="0076294A">
              <w:rPr>
                <w:b/>
                <w:sz w:val="20"/>
                <w:szCs w:val="20"/>
              </w:rPr>
              <w:t xml:space="preserve">Table Directions (please delete this row of directions when adding the completed tables to your paper): </w:t>
            </w:r>
          </w:p>
          <w:p w:rsidR="00066E04" w:rsidRPr="0076294A" w:rsidRDefault="00066E04" w:rsidP="00B90204">
            <w:pPr>
              <w:pStyle w:val="ListParagraph"/>
              <w:numPr>
                <w:ilvl w:val="0"/>
                <w:numId w:val="1"/>
              </w:numPr>
              <w:spacing w:before="100" w:beforeAutospacing="1" w:after="100" w:afterAutospacing="1"/>
              <w:rPr>
                <w:bCs/>
                <w:sz w:val="20"/>
                <w:szCs w:val="20"/>
              </w:rPr>
            </w:pPr>
            <w:r w:rsidRPr="0076294A">
              <w:rPr>
                <w:bCs/>
                <w:sz w:val="20"/>
                <w:szCs w:val="20"/>
              </w:rPr>
              <w:t xml:space="preserve">Complete one table for each study in your Evidence Synthesis. </w:t>
            </w:r>
          </w:p>
          <w:p w:rsidR="00066E04" w:rsidRPr="0076294A" w:rsidRDefault="00066E04" w:rsidP="00B90204">
            <w:pPr>
              <w:pStyle w:val="ListParagraph"/>
              <w:numPr>
                <w:ilvl w:val="0"/>
                <w:numId w:val="1"/>
              </w:numPr>
              <w:spacing w:before="100" w:beforeAutospacing="1" w:after="100" w:afterAutospacing="1"/>
              <w:rPr>
                <w:bCs/>
                <w:sz w:val="20"/>
                <w:szCs w:val="20"/>
              </w:rPr>
            </w:pPr>
            <w:r w:rsidRPr="0076294A">
              <w:rPr>
                <w:bCs/>
                <w:sz w:val="20"/>
                <w:szCs w:val="20"/>
              </w:rPr>
              <w:t>The maximum allowable length for all four studies combined is two pages, as illustrated below.</w:t>
            </w:r>
          </w:p>
          <w:p w:rsidR="00066E04" w:rsidRPr="0076294A" w:rsidRDefault="00066E04" w:rsidP="00B90204">
            <w:pPr>
              <w:pStyle w:val="ListParagraph"/>
              <w:numPr>
                <w:ilvl w:val="0"/>
                <w:numId w:val="1"/>
              </w:numPr>
              <w:spacing w:before="100" w:beforeAutospacing="1" w:after="100" w:afterAutospacing="1"/>
              <w:rPr>
                <w:b/>
                <w:sz w:val="20"/>
                <w:szCs w:val="20"/>
              </w:rPr>
            </w:pPr>
            <w:r w:rsidRPr="0076294A">
              <w:rPr>
                <w:bCs/>
                <w:sz w:val="20"/>
                <w:szCs w:val="20"/>
              </w:rPr>
              <w:t>There is no minimum or a maximum number of entries required for each cell - Use of bullets and brief phrases are advised.</w:t>
            </w:r>
          </w:p>
          <w:p w:rsidR="00066E04" w:rsidRPr="0076294A" w:rsidRDefault="00066E04" w:rsidP="00B90204">
            <w:pPr>
              <w:pStyle w:val="ListParagraph"/>
              <w:numPr>
                <w:ilvl w:val="0"/>
                <w:numId w:val="1"/>
              </w:numPr>
              <w:spacing w:before="100" w:beforeAutospacing="1" w:after="100" w:afterAutospacing="1"/>
              <w:rPr>
                <w:bCs/>
                <w:sz w:val="20"/>
                <w:szCs w:val="20"/>
              </w:rPr>
            </w:pPr>
            <w:r w:rsidRPr="0076294A">
              <w:rPr>
                <w:bCs/>
                <w:sz w:val="20"/>
                <w:szCs w:val="20"/>
              </w:rPr>
              <w:t>Refer to the Strengths and Weakness work completed in the Team Appraisal assignment as a guide</w:t>
            </w:r>
          </w:p>
        </w:tc>
      </w:tr>
      <w:tr w:rsidR="0076294A" w:rsidRPr="0076294A" w:rsidTr="00B90204">
        <w:trPr>
          <w:trHeight w:val="288"/>
          <w:jc w:val="center"/>
        </w:trPr>
        <w:tc>
          <w:tcPr>
            <w:tcW w:w="10856" w:type="dxa"/>
            <w:gridSpan w:val="5"/>
            <w:shd w:val="clear" w:color="auto" w:fill="FFFFFF" w:themeFill="background1"/>
          </w:tcPr>
          <w:p w:rsidR="00066E04" w:rsidRPr="0076294A" w:rsidRDefault="00066E04" w:rsidP="00B90204">
            <w:pPr>
              <w:spacing w:before="100" w:beforeAutospacing="1" w:after="100" w:afterAutospacing="1"/>
              <w:rPr>
                <w:b/>
                <w:sz w:val="20"/>
                <w:szCs w:val="20"/>
              </w:rPr>
            </w:pPr>
            <w:r w:rsidRPr="0076294A">
              <w:rPr>
                <w:b/>
                <w:sz w:val="20"/>
                <w:szCs w:val="20"/>
              </w:rPr>
              <w:t xml:space="preserve">Study #1 Citation: </w:t>
            </w:r>
            <w:r w:rsidRPr="0076294A">
              <w:rPr>
                <w:sz w:val="20"/>
                <w:szCs w:val="20"/>
              </w:rPr>
              <w:t>Opheim, A., Gaulen, Z., Solli, K. K., Latif, Z. E. H., Fadnes, L. T., Benth, J. Š., ... &amp; Tanum, L. (2021). Risk of Relapse Among Opioid‐Dependent Patients Treated With Extended‐Release Naltrexone or Buprenorphine‐Naloxone: A Randomized Clinical Trial. The American Journal on Addictions, 30(5), 453-460.</w:t>
            </w:r>
          </w:p>
        </w:tc>
      </w:tr>
      <w:tr w:rsidR="0076294A" w:rsidRPr="0076294A" w:rsidTr="00B90204">
        <w:trPr>
          <w:trHeight w:val="288"/>
          <w:jc w:val="center"/>
        </w:trPr>
        <w:tc>
          <w:tcPr>
            <w:tcW w:w="1245" w:type="dxa"/>
            <w:shd w:val="clear" w:color="auto" w:fill="DDD9C3" w:themeFill="background2" w:themeFillShade="E6"/>
          </w:tcPr>
          <w:p w:rsidR="00066E04" w:rsidRPr="0076294A" w:rsidRDefault="00066E04" w:rsidP="00B90204">
            <w:pPr>
              <w:spacing w:before="100" w:beforeAutospacing="1" w:after="100" w:afterAutospacing="1"/>
              <w:rPr>
                <w:b/>
                <w:sz w:val="20"/>
                <w:szCs w:val="20"/>
              </w:rPr>
            </w:pPr>
          </w:p>
        </w:tc>
        <w:tc>
          <w:tcPr>
            <w:tcW w:w="4770" w:type="dxa"/>
            <w:gridSpan w:val="3"/>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STRENGTH</w:t>
            </w:r>
          </w:p>
        </w:tc>
        <w:tc>
          <w:tcPr>
            <w:tcW w:w="4841" w:type="dxa"/>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WEAKNESS</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 DESIGN</w:t>
            </w:r>
          </w:p>
          <w:p w:rsidR="00066E04" w:rsidRPr="0076294A" w:rsidRDefault="00066E04" w:rsidP="00B90204">
            <w:pPr>
              <w:spacing w:before="100" w:beforeAutospacing="1" w:after="100" w:afterAutospacing="1"/>
              <w:jc w:val="center"/>
              <w:rPr>
                <w:b/>
                <w:sz w:val="20"/>
                <w:szCs w:val="20"/>
              </w:rPr>
            </w:pPr>
          </w:p>
        </w:tc>
        <w:tc>
          <w:tcPr>
            <w:tcW w:w="4770" w:type="dxa"/>
            <w:gridSpan w:val="3"/>
            <w:shd w:val="clear" w:color="auto" w:fill="FFFFFF" w:themeFill="background1"/>
          </w:tcPr>
          <w:p w:rsidR="00066E04" w:rsidRPr="0076294A" w:rsidRDefault="00066E04" w:rsidP="00B90204">
            <w:pPr>
              <w:pStyle w:val="ListParagraph"/>
              <w:numPr>
                <w:ilvl w:val="0"/>
                <w:numId w:val="2"/>
              </w:numPr>
              <w:spacing w:before="100" w:beforeAutospacing="1" w:after="100" w:afterAutospacing="1"/>
              <w:rPr>
                <w:bCs/>
                <w:sz w:val="20"/>
                <w:szCs w:val="20"/>
              </w:rPr>
            </w:pPr>
            <w:r w:rsidRPr="0076294A">
              <w:rPr>
                <w:bCs/>
                <w:sz w:val="20"/>
                <w:szCs w:val="20"/>
              </w:rPr>
              <w:t xml:space="preserve">The study is a multi-open label controlled trial. </w:t>
            </w:r>
          </w:p>
          <w:p w:rsidR="00066E04" w:rsidRPr="0076294A" w:rsidRDefault="00066E04" w:rsidP="00B90204">
            <w:pPr>
              <w:pStyle w:val="ListParagraph"/>
              <w:numPr>
                <w:ilvl w:val="0"/>
                <w:numId w:val="2"/>
              </w:numPr>
              <w:spacing w:before="100" w:beforeAutospacing="1" w:after="100" w:afterAutospacing="1"/>
              <w:rPr>
                <w:bCs/>
                <w:sz w:val="20"/>
                <w:szCs w:val="20"/>
              </w:rPr>
            </w:pPr>
            <w:r w:rsidRPr="0076294A">
              <w:rPr>
                <w:bCs/>
                <w:sz w:val="20"/>
                <w:szCs w:val="20"/>
              </w:rPr>
              <w:t>The study made use of multicentre to come up with the research findings</w:t>
            </w:r>
          </w:p>
          <w:p w:rsidR="00066E04" w:rsidRPr="0076294A" w:rsidRDefault="00066E04" w:rsidP="00B90204">
            <w:pPr>
              <w:pStyle w:val="ListParagraph"/>
              <w:numPr>
                <w:ilvl w:val="0"/>
                <w:numId w:val="2"/>
              </w:numPr>
              <w:spacing w:before="100" w:beforeAutospacing="1" w:after="100" w:afterAutospacing="1"/>
              <w:rPr>
                <w:bCs/>
                <w:sz w:val="20"/>
                <w:szCs w:val="20"/>
              </w:rPr>
            </w:pPr>
            <w:r w:rsidRPr="0076294A">
              <w:rPr>
                <w:bCs/>
                <w:sz w:val="20"/>
                <w:szCs w:val="20"/>
              </w:rPr>
              <w:t xml:space="preserve">Comprehensively reviews past literature </w:t>
            </w:r>
          </w:p>
        </w:tc>
        <w:tc>
          <w:tcPr>
            <w:tcW w:w="4841" w:type="dxa"/>
            <w:shd w:val="clear" w:color="auto" w:fill="FFFFFF" w:themeFill="background1"/>
          </w:tcPr>
          <w:p w:rsidR="00066E04" w:rsidRPr="0076294A" w:rsidRDefault="00066E04" w:rsidP="00B90204">
            <w:pPr>
              <w:pStyle w:val="ListParagraph"/>
              <w:numPr>
                <w:ilvl w:val="0"/>
                <w:numId w:val="2"/>
              </w:numPr>
              <w:spacing w:before="100" w:beforeAutospacing="1" w:after="100" w:afterAutospacing="1"/>
              <w:rPr>
                <w:bCs/>
                <w:sz w:val="20"/>
                <w:szCs w:val="20"/>
              </w:rPr>
            </w:pPr>
            <w:r w:rsidRPr="0076294A">
              <w:rPr>
                <w:bCs/>
                <w:sz w:val="20"/>
                <w:szCs w:val="20"/>
              </w:rPr>
              <w:t xml:space="preserve">The theoretic framework was omitted in the study. </w:t>
            </w:r>
          </w:p>
          <w:p w:rsidR="00066E04" w:rsidRPr="0076294A" w:rsidRDefault="00066E04" w:rsidP="00B90204">
            <w:pPr>
              <w:pStyle w:val="ListParagraph"/>
              <w:numPr>
                <w:ilvl w:val="0"/>
                <w:numId w:val="2"/>
              </w:numPr>
              <w:spacing w:before="100" w:beforeAutospacing="1" w:after="100" w:afterAutospacing="1"/>
              <w:rPr>
                <w:bCs/>
                <w:sz w:val="20"/>
                <w:szCs w:val="20"/>
              </w:rPr>
            </w:pPr>
            <w:r w:rsidRPr="0076294A">
              <w:rPr>
                <w:bCs/>
                <w:sz w:val="20"/>
                <w:szCs w:val="20"/>
              </w:rPr>
              <w:t xml:space="preserve">No double-blinding of research subjects and analyst </w:t>
            </w:r>
          </w:p>
        </w:tc>
      </w:tr>
      <w:tr w:rsidR="0076294A" w:rsidRPr="0076294A" w:rsidTr="00B90204">
        <w:trPr>
          <w:trHeight w:val="1025"/>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 SAMPLE</w:t>
            </w:r>
          </w:p>
        </w:tc>
        <w:tc>
          <w:tcPr>
            <w:tcW w:w="4770" w:type="dxa"/>
            <w:gridSpan w:val="3"/>
            <w:shd w:val="clear" w:color="auto" w:fill="FFFFFF" w:themeFill="background1"/>
          </w:tcPr>
          <w:p w:rsidR="00066E04" w:rsidRPr="0076294A" w:rsidRDefault="00066E04" w:rsidP="00B90204">
            <w:pPr>
              <w:pStyle w:val="ListParagraph"/>
              <w:numPr>
                <w:ilvl w:val="0"/>
                <w:numId w:val="4"/>
              </w:numPr>
              <w:spacing w:before="100" w:beforeAutospacing="1" w:after="100" w:afterAutospacing="1"/>
              <w:rPr>
                <w:bCs/>
                <w:sz w:val="20"/>
                <w:szCs w:val="20"/>
              </w:rPr>
            </w:pPr>
            <w:r w:rsidRPr="0076294A">
              <w:rPr>
                <w:bCs/>
                <w:sz w:val="20"/>
                <w:szCs w:val="20"/>
              </w:rPr>
              <w:t>The sample size in the study was clearly outlined</w:t>
            </w:r>
          </w:p>
          <w:p w:rsidR="00066E04" w:rsidRPr="0076294A" w:rsidRDefault="00066E04" w:rsidP="00B90204">
            <w:pPr>
              <w:pStyle w:val="ListParagraph"/>
              <w:numPr>
                <w:ilvl w:val="0"/>
                <w:numId w:val="4"/>
              </w:numPr>
              <w:spacing w:before="100" w:beforeAutospacing="1" w:after="100" w:afterAutospacing="1"/>
              <w:rPr>
                <w:bCs/>
                <w:sz w:val="20"/>
                <w:szCs w:val="20"/>
              </w:rPr>
            </w:pPr>
            <w:r w:rsidRPr="0076294A">
              <w:rPr>
                <w:bCs/>
                <w:sz w:val="20"/>
                <w:szCs w:val="20"/>
              </w:rPr>
              <w:t>Heterogenous groups were adopted.</w:t>
            </w:r>
          </w:p>
          <w:p w:rsidR="00066E04" w:rsidRPr="0076294A" w:rsidRDefault="00066E04" w:rsidP="00B90204">
            <w:pPr>
              <w:pStyle w:val="ListParagraph"/>
              <w:numPr>
                <w:ilvl w:val="0"/>
                <w:numId w:val="4"/>
              </w:numPr>
              <w:spacing w:before="100" w:beforeAutospacing="1" w:after="100" w:afterAutospacing="1"/>
              <w:rPr>
                <w:bCs/>
                <w:sz w:val="20"/>
                <w:szCs w:val="20"/>
              </w:rPr>
            </w:pPr>
            <w:r w:rsidRPr="0076294A">
              <w:rPr>
                <w:bCs/>
                <w:sz w:val="20"/>
                <w:szCs w:val="20"/>
              </w:rPr>
              <w:t xml:space="preserve">Exclusion criteria were clearly outlined. </w:t>
            </w:r>
          </w:p>
          <w:p w:rsidR="00066E04" w:rsidRPr="0076294A" w:rsidRDefault="00066E04" w:rsidP="00B90204">
            <w:pPr>
              <w:pStyle w:val="ListParagraph"/>
              <w:numPr>
                <w:ilvl w:val="0"/>
                <w:numId w:val="4"/>
              </w:numPr>
              <w:spacing w:before="100" w:beforeAutospacing="1" w:after="100" w:afterAutospacing="1"/>
              <w:rPr>
                <w:bCs/>
                <w:sz w:val="20"/>
                <w:szCs w:val="20"/>
              </w:rPr>
            </w:pPr>
            <w:r w:rsidRPr="0076294A">
              <w:rPr>
                <w:bCs/>
                <w:sz w:val="20"/>
                <w:szCs w:val="20"/>
              </w:rPr>
              <w:t xml:space="preserve">Random assignment of participants </w:t>
            </w:r>
          </w:p>
        </w:tc>
        <w:tc>
          <w:tcPr>
            <w:tcW w:w="4841" w:type="dxa"/>
            <w:shd w:val="clear" w:color="auto" w:fill="FFFFFF" w:themeFill="background1"/>
          </w:tcPr>
          <w:p w:rsidR="00066E04" w:rsidRPr="0076294A" w:rsidRDefault="00066E04" w:rsidP="00B90204">
            <w:pPr>
              <w:pStyle w:val="ListParagraph"/>
              <w:numPr>
                <w:ilvl w:val="0"/>
                <w:numId w:val="4"/>
              </w:numPr>
              <w:spacing w:before="100" w:beforeAutospacing="1" w:after="100" w:afterAutospacing="1"/>
              <w:rPr>
                <w:bCs/>
                <w:sz w:val="20"/>
                <w:szCs w:val="20"/>
              </w:rPr>
            </w:pPr>
            <w:r w:rsidRPr="0076294A">
              <w:rPr>
                <w:bCs/>
                <w:sz w:val="20"/>
                <w:szCs w:val="20"/>
              </w:rPr>
              <w:t>The sampling procedure was not included in the study</w:t>
            </w:r>
          </w:p>
          <w:p w:rsidR="00066E04" w:rsidRPr="0076294A" w:rsidRDefault="00066E04" w:rsidP="00B90204">
            <w:pPr>
              <w:pStyle w:val="ListParagraph"/>
              <w:numPr>
                <w:ilvl w:val="0"/>
                <w:numId w:val="3"/>
              </w:numPr>
              <w:spacing w:before="100" w:beforeAutospacing="1" w:after="100" w:afterAutospacing="1"/>
              <w:rPr>
                <w:bCs/>
                <w:sz w:val="20"/>
                <w:szCs w:val="20"/>
              </w:rPr>
            </w:pPr>
            <w:r w:rsidRPr="0076294A">
              <w:rPr>
                <w:bCs/>
                <w:sz w:val="20"/>
                <w:szCs w:val="20"/>
              </w:rPr>
              <w:t>All subjects did not finish the study</w:t>
            </w:r>
          </w:p>
        </w:tc>
      </w:tr>
      <w:tr w:rsidR="0076294A" w:rsidRPr="0076294A" w:rsidTr="00B90204">
        <w:trPr>
          <w:trHeight w:val="288"/>
          <w:jc w:val="center"/>
        </w:trPr>
        <w:tc>
          <w:tcPr>
            <w:tcW w:w="1245" w:type="dxa"/>
            <w:tcBorders>
              <w:bottom w:val="single" w:sz="4" w:space="0" w:color="000000"/>
            </w:tcBorders>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III. METHODS</w:t>
            </w:r>
          </w:p>
          <w:p w:rsidR="00066E04" w:rsidRPr="0076294A" w:rsidRDefault="00066E04" w:rsidP="00B90204">
            <w:pPr>
              <w:spacing w:before="100" w:beforeAutospacing="1" w:after="100" w:afterAutospacing="1"/>
              <w:jc w:val="center"/>
              <w:rPr>
                <w:b/>
                <w:sz w:val="20"/>
                <w:szCs w:val="20"/>
              </w:rPr>
            </w:pPr>
            <w:r w:rsidRPr="0076294A">
              <w:rPr>
                <w:b/>
                <w:sz w:val="20"/>
                <w:szCs w:val="20"/>
              </w:rPr>
              <w:t>(Intervention Protocol and Data Collection)</w:t>
            </w:r>
          </w:p>
        </w:tc>
        <w:tc>
          <w:tcPr>
            <w:tcW w:w="4770" w:type="dxa"/>
            <w:gridSpan w:val="3"/>
            <w:tcBorders>
              <w:bottom w:val="single" w:sz="4" w:space="0" w:color="000000"/>
            </w:tcBorders>
            <w:shd w:val="clear" w:color="auto" w:fill="FFFFFF" w:themeFill="background1"/>
          </w:tcPr>
          <w:p w:rsidR="00066E04" w:rsidRPr="0076294A" w:rsidRDefault="00066E04" w:rsidP="00B90204">
            <w:pPr>
              <w:pStyle w:val="ListParagraph"/>
              <w:numPr>
                <w:ilvl w:val="0"/>
                <w:numId w:val="6"/>
              </w:numPr>
              <w:spacing w:before="100" w:beforeAutospacing="1" w:after="100" w:afterAutospacing="1"/>
              <w:rPr>
                <w:bCs/>
                <w:sz w:val="20"/>
                <w:szCs w:val="20"/>
              </w:rPr>
            </w:pPr>
            <w:r w:rsidRPr="0076294A">
              <w:rPr>
                <w:bCs/>
                <w:sz w:val="20"/>
                <w:szCs w:val="20"/>
              </w:rPr>
              <w:t>Consistent interventions were offered across similar groups.</w:t>
            </w:r>
          </w:p>
          <w:p w:rsidR="00066E04" w:rsidRPr="0076294A" w:rsidRDefault="00066E04" w:rsidP="00B90204">
            <w:pPr>
              <w:pStyle w:val="ListParagraph"/>
              <w:numPr>
                <w:ilvl w:val="0"/>
                <w:numId w:val="6"/>
              </w:numPr>
              <w:spacing w:before="100" w:beforeAutospacing="1" w:after="100" w:afterAutospacing="1"/>
              <w:rPr>
                <w:bCs/>
                <w:sz w:val="20"/>
                <w:szCs w:val="20"/>
              </w:rPr>
            </w:pPr>
            <w:r w:rsidRPr="0076294A">
              <w:rPr>
                <w:bCs/>
                <w:sz w:val="20"/>
                <w:szCs w:val="20"/>
              </w:rPr>
              <w:t>The methodology adopted was clearly stated.</w:t>
            </w:r>
          </w:p>
          <w:p w:rsidR="00066E04" w:rsidRPr="0076294A" w:rsidRDefault="00066E04" w:rsidP="00B90204">
            <w:pPr>
              <w:pStyle w:val="ListParagraph"/>
              <w:numPr>
                <w:ilvl w:val="0"/>
                <w:numId w:val="6"/>
              </w:numPr>
              <w:spacing w:before="100" w:beforeAutospacing="1" w:after="100" w:afterAutospacing="1"/>
              <w:rPr>
                <w:bCs/>
                <w:sz w:val="20"/>
                <w:szCs w:val="20"/>
              </w:rPr>
            </w:pPr>
            <w:r w:rsidRPr="0076294A">
              <w:rPr>
                <w:bCs/>
                <w:sz w:val="20"/>
                <w:szCs w:val="20"/>
              </w:rPr>
              <w:t>Precise data collection methods were also adopted.</w:t>
            </w:r>
          </w:p>
          <w:p w:rsidR="00066E04" w:rsidRPr="0076294A" w:rsidRDefault="00066E04" w:rsidP="00B90204">
            <w:pPr>
              <w:pStyle w:val="ListParagraph"/>
              <w:numPr>
                <w:ilvl w:val="0"/>
                <w:numId w:val="6"/>
              </w:numPr>
              <w:spacing w:before="100" w:beforeAutospacing="1" w:after="100" w:afterAutospacing="1"/>
              <w:rPr>
                <w:bCs/>
                <w:sz w:val="20"/>
                <w:szCs w:val="20"/>
              </w:rPr>
            </w:pPr>
            <w:r w:rsidRPr="0076294A">
              <w:rPr>
                <w:bCs/>
                <w:sz w:val="20"/>
                <w:szCs w:val="20"/>
              </w:rPr>
              <w:t>Dependent variables were clearly outlined and measured across the experiment.</w:t>
            </w:r>
          </w:p>
        </w:tc>
        <w:tc>
          <w:tcPr>
            <w:tcW w:w="4841" w:type="dxa"/>
            <w:tcBorders>
              <w:bottom w:val="single" w:sz="4" w:space="0" w:color="000000"/>
            </w:tcBorders>
            <w:shd w:val="clear" w:color="auto" w:fill="FFFFFF" w:themeFill="background1"/>
          </w:tcPr>
          <w:p w:rsidR="00066E04" w:rsidRPr="0076294A" w:rsidRDefault="00066E04" w:rsidP="00B90204">
            <w:pPr>
              <w:pStyle w:val="ListParagraph"/>
              <w:numPr>
                <w:ilvl w:val="0"/>
                <w:numId w:val="6"/>
              </w:numPr>
              <w:spacing w:before="100" w:beforeAutospacing="1" w:after="100" w:afterAutospacing="1"/>
              <w:rPr>
                <w:bCs/>
                <w:sz w:val="20"/>
                <w:szCs w:val="20"/>
              </w:rPr>
            </w:pPr>
            <w:r w:rsidRPr="0076294A">
              <w:rPr>
                <w:bCs/>
                <w:sz w:val="20"/>
                <w:szCs w:val="20"/>
              </w:rPr>
              <w:t>Procedure fidelity is not outlined.</w:t>
            </w:r>
          </w:p>
          <w:p w:rsidR="00066E04" w:rsidRPr="0076294A" w:rsidRDefault="00066E04" w:rsidP="00B90204">
            <w:pPr>
              <w:spacing w:before="100" w:beforeAutospacing="1" w:after="100" w:afterAutospacing="1"/>
              <w:ind w:left="360"/>
              <w:rPr>
                <w:bCs/>
                <w:sz w:val="20"/>
                <w:szCs w:val="20"/>
              </w:rPr>
            </w:pPr>
          </w:p>
        </w:tc>
      </w:tr>
      <w:tr w:rsidR="0076294A" w:rsidRPr="0076294A" w:rsidTr="00B90204">
        <w:trPr>
          <w:trHeight w:val="108"/>
          <w:jc w:val="center"/>
        </w:trPr>
        <w:tc>
          <w:tcPr>
            <w:tcW w:w="4665" w:type="dxa"/>
            <w:gridSpan w:val="2"/>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Level Rating:  (Melnyk, 2019)</w:t>
            </w:r>
          </w:p>
        </w:tc>
        <w:tc>
          <w:tcPr>
            <w:tcW w:w="6191" w:type="dxa"/>
            <w:gridSpan w:val="3"/>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Quality Rating: (JHNEBP) B</w:t>
            </w:r>
          </w:p>
        </w:tc>
      </w:tr>
      <w:tr w:rsidR="0076294A" w:rsidRPr="0076294A" w:rsidTr="00B90204">
        <w:trPr>
          <w:trHeight w:val="288"/>
          <w:jc w:val="center"/>
        </w:trPr>
        <w:tc>
          <w:tcPr>
            <w:tcW w:w="10856" w:type="dxa"/>
            <w:gridSpan w:val="5"/>
            <w:tcBorders>
              <w:top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
                <w:sz w:val="20"/>
                <w:szCs w:val="20"/>
              </w:rPr>
            </w:pPr>
            <w:r w:rsidRPr="0076294A">
              <w:rPr>
                <w:b/>
                <w:sz w:val="20"/>
                <w:szCs w:val="20"/>
              </w:rPr>
              <w:t>Study #2 Citation:</w:t>
            </w:r>
            <w:r w:rsidRPr="0076294A">
              <w:t xml:space="preserve"> </w:t>
            </w:r>
            <w:r w:rsidRPr="0076294A">
              <w:rPr>
                <w:sz w:val="20"/>
                <w:szCs w:val="20"/>
              </w:rPr>
              <w:t>Sullivan, M., Bisaga, A., Pavlova, M., Choi, C. J., Mishler, K., Carpenter, K. M., ... &amp; Nunes, E. V. (2017). Long-acting injectable naltrexone induction: a randomized trial of outpatient opioid detoxification with naltrexone versus buprenorphine. American Journal of Psychiatry, 174(5), 459-467.</w:t>
            </w:r>
          </w:p>
        </w:tc>
      </w:tr>
      <w:tr w:rsidR="0076294A" w:rsidRPr="0076294A" w:rsidTr="00B90204">
        <w:trPr>
          <w:trHeight w:val="288"/>
          <w:jc w:val="center"/>
        </w:trPr>
        <w:tc>
          <w:tcPr>
            <w:tcW w:w="1245" w:type="dxa"/>
            <w:shd w:val="clear" w:color="auto" w:fill="DDD9C3" w:themeFill="background2" w:themeFillShade="E6"/>
          </w:tcPr>
          <w:p w:rsidR="00066E04" w:rsidRPr="0076294A" w:rsidRDefault="00066E04" w:rsidP="00B90204">
            <w:pPr>
              <w:spacing w:before="100" w:beforeAutospacing="1" w:after="100" w:afterAutospacing="1"/>
              <w:rPr>
                <w:b/>
                <w:sz w:val="20"/>
                <w:szCs w:val="20"/>
              </w:rPr>
            </w:pPr>
          </w:p>
        </w:tc>
        <w:tc>
          <w:tcPr>
            <w:tcW w:w="4770" w:type="dxa"/>
            <w:gridSpan w:val="3"/>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STRENGTH</w:t>
            </w:r>
          </w:p>
        </w:tc>
        <w:tc>
          <w:tcPr>
            <w:tcW w:w="4841" w:type="dxa"/>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WEAKNESS</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 DESIGN</w:t>
            </w:r>
          </w:p>
        </w:tc>
        <w:tc>
          <w:tcPr>
            <w:tcW w:w="4770" w:type="dxa"/>
            <w:gridSpan w:val="3"/>
            <w:shd w:val="clear" w:color="auto" w:fill="FFFFFF" w:themeFill="background1"/>
          </w:tcPr>
          <w:p w:rsidR="00066E04" w:rsidRPr="0076294A" w:rsidRDefault="00066E04" w:rsidP="00B90204">
            <w:pPr>
              <w:pStyle w:val="ListParagraph"/>
              <w:numPr>
                <w:ilvl w:val="0"/>
                <w:numId w:val="7"/>
              </w:numPr>
              <w:spacing w:before="100" w:beforeAutospacing="1" w:after="100" w:afterAutospacing="1"/>
              <w:rPr>
                <w:bCs/>
                <w:sz w:val="20"/>
                <w:szCs w:val="20"/>
              </w:rPr>
            </w:pPr>
            <w:r w:rsidRPr="0076294A">
              <w:rPr>
                <w:bCs/>
                <w:sz w:val="20"/>
                <w:szCs w:val="20"/>
              </w:rPr>
              <w:t xml:space="preserve">The experimental design was adopted </w:t>
            </w:r>
          </w:p>
          <w:p w:rsidR="00066E04" w:rsidRPr="0076294A" w:rsidRDefault="00066E04" w:rsidP="00B90204">
            <w:pPr>
              <w:pStyle w:val="ListParagraph"/>
              <w:numPr>
                <w:ilvl w:val="0"/>
                <w:numId w:val="7"/>
              </w:numPr>
              <w:spacing w:before="100" w:beforeAutospacing="1" w:after="100" w:afterAutospacing="1"/>
              <w:rPr>
                <w:bCs/>
                <w:sz w:val="20"/>
                <w:szCs w:val="20"/>
              </w:rPr>
            </w:pPr>
            <w:r w:rsidRPr="0076294A">
              <w:rPr>
                <w:bCs/>
                <w:sz w:val="20"/>
                <w:szCs w:val="20"/>
              </w:rPr>
              <w:t xml:space="preserve">A critical review of past research </w:t>
            </w:r>
          </w:p>
        </w:tc>
        <w:tc>
          <w:tcPr>
            <w:tcW w:w="4841" w:type="dxa"/>
            <w:shd w:val="clear" w:color="auto" w:fill="FFFFFF" w:themeFill="background1"/>
          </w:tcPr>
          <w:p w:rsidR="00066E04" w:rsidRPr="0076294A" w:rsidRDefault="00066E04" w:rsidP="00B90204">
            <w:pPr>
              <w:spacing w:before="100" w:beforeAutospacing="1" w:after="100" w:afterAutospacing="1"/>
              <w:rPr>
                <w:bCs/>
                <w:sz w:val="20"/>
                <w:szCs w:val="20"/>
              </w:rPr>
            </w:pPr>
          </w:p>
          <w:p w:rsidR="00066E04" w:rsidRPr="0076294A" w:rsidRDefault="00066E04" w:rsidP="00B90204">
            <w:pPr>
              <w:pStyle w:val="ListParagraph"/>
              <w:numPr>
                <w:ilvl w:val="0"/>
                <w:numId w:val="7"/>
              </w:numPr>
              <w:spacing w:before="100" w:beforeAutospacing="1" w:after="100" w:afterAutospacing="1"/>
              <w:rPr>
                <w:bCs/>
                <w:sz w:val="20"/>
                <w:szCs w:val="20"/>
              </w:rPr>
            </w:pPr>
            <w:r w:rsidRPr="0076294A">
              <w:rPr>
                <w:bCs/>
                <w:sz w:val="20"/>
                <w:szCs w:val="20"/>
              </w:rPr>
              <w:t>The theoretical framework was omitted.</w:t>
            </w:r>
          </w:p>
          <w:p w:rsidR="00066E04" w:rsidRPr="0076294A" w:rsidRDefault="00066E04" w:rsidP="00B90204">
            <w:pPr>
              <w:pStyle w:val="ListParagraph"/>
              <w:numPr>
                <w:ilvl w:val="0"/>
                <w:numId w:val="7"/>
              </w:numPr>
              <w:spacing w:before="100" w:beforeAutospacing="1" w:after="100" w:afterAutospacing="1"/>
              <w:rPr>
                <w:bCs/>
                <w:sz w:val="20"/>
                <w:szCs w:val="20"/>
              </w:rPr>
            </w:pPr>
            <w:r w:rsidRPr="0076294A">
              <w:rPr>
                <w:bCs/>
                <w:sz w:val="20"/>
                <w:szCs w:val="20"/>
              </w:rPr>
              <w:t>A single-center was utilized in the research study.</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 SAMPLE</w:t>
            </w:r>
          </w:p>
        </w:tc>
        <w:tc>
          <w:tcPr>
            <w:tcW w:w="4770" w:type="dxa"/>
            <w:gridSpan w:val="3"/>
            <w:shd w:val="clear" w:color="auto" w:fill="FFFFFF" w:themeFill="background1"/>
          </w:tcPr>
          <w:p w:rsidR="00066E04" w:rsidRPr="0076294A" w:rsidRDefault="00066E04" w:rsidP="00B90204">
            <w:pPr>
              <w:pStyle w:val="ListParagraph"/>
              <w:numPr>
                <w:ilvl w:val="0"/>
                <w:numId w:val="5"/>
              </w:numPr>
              <w:spacing w:before="100" w:beforeAutospacing="1" w:after="100" w:afterAutospacing="1"/>
              <w:rPr>
                <w:bCs/>
                <w:sz w:val="20"/>
                <w:szCs w:val="20"/>
              </w:rPr>
            </w:pPr>
            <w:r w:rsidRPr="0076294A">
              <w:rPr>
                <w:bCs/>
                <w:sz w:val="20"/>
                <w:szCs w:val="20"/>
              </w:rPr>
              <w:t>Random assignment of participants</w:t>
            </w:r>
          </w:p>
          <w:p w:rsidR="00066E04" w:rsidRPr="0076294A" w:rsidRDefault="00066E04" w:rsidP="00B90204">
            <w:pPr>
              <w:pStyle w:val="ListParagraph"/>
              <w:numPr>
                <w:ilvl w:val="0"/>
                <w:numId w:val="5"/>
              </w:numPr>
              <w:spacing w:before="100" w:beforeAutospacing="1" w:after="100" w:afterAutospacing="1"/>
              <w:rPr>
                <w:bCs/>
                <w:sz w:val="20"/>
                <w:szCs w:val="20"/>
              </w:rPr>
            </w:pPr>
            <w:r w:rsidRPr="0076294A">
              <w:rPr>
                <w:bCs/>
                <w:sz w:val="20"/>
                <w:szCs w:val="20"/>
              </w:rPr>
              <w:t>The sample size was clearly outlined</w:t>
            </w:r>
          </w:p>
          <w:p w:rsidR="00066E04" w:rsidRPr="0076294A" w:rsidRDefault="00066E04" w:rsidP="00B90204">
            <w:pPr>
              <w:pStyle w:val="ListParagraph"/>
              <w:numPr>
                <w:ilvl w:val="0"/>
                <w:numId w:val="5"/>
              </w:numPr>
              <w:spacing w:before="100" w:beforeAutospacing="1" w:after="100" w:afterAutospacing="1"/>
              <w:rPr>
                <w:bCs/>
                <w:sz w:val="20"/>
                <w:szCs w:val="20"/>
              </w:rPr>
            </w:pPr>
            <w:r w:rsidRPr="0076294A">
              <w:rPr>
                <w:bCs/>
                <w:sz w:val="20"/>
                <w:szCs w:val="20"/>
              </w:rPr>
              <w:t xml:space="preserve">Group heterogeneity </w:t>
            </w:r>
          </w:p>
          <w:p w:rsidR="00066E04" w:rsidRPr="0076294A" w:rsidRDefault="00066E04" w:rsidP="00B90204">
            <w:pPr>
              <w:pStyle w:val="ListParagraph"/>
              <w:numPr>
                <w:ilvl w:val="0"/>
                <w:numId w:val="5"/>
              </w:numPr>
              <w:spacing w:before="100" w:beforeAutospacing="1" w:after="100" w:afterAutospacing="1"/>
              <w:rPr>
                <w:bCs/>
                <w:sz w:val="20"/>
                <w:szCs w:val="20"/>
              </w:rPr>
            </w:pPr>
            <w:r w:rsidRPr="0076294A">
              <w:rPr>
                <w:bCs/>
                <w:sz w:val="20"/>
                <w:szCs w:val="20"/>
              </w:rPr>
              <w:t>All participants were retained till the end of the study.</w:t>
            </w:r>
          </w:p>
          <w:p w:rsidR="00066E04" w:rsidRPr="0076294A" w:rsidRDefault="00066E04" w:rsidP="00B90204">
            <w:pPr>
              <w:pStyle w:val="ListParagraph"/>
              <w:numPr>
                <w:ilvl w:val="0"/>
                <w:numId w:val="5"/>
              </w:numPr>
              <w:spacing w:before="100" w:beforeAutospacing="1" w:after="100" w:afterAutospacing="1"/>
              <w:rPr>
                <w:bCs/>
                <w:sz w:val="20"/>
                <w:szCs w:val="20"/>
              </w:rPr>
            </w:pPr>
            <w:r w:rsidRPr="0076294A">
              <w:rPr>
                <w:bCs/>
                <w:sz w:val="20"/>
                <w:szCs w:val="20"/>
              </w:rPr>
              <w:t xml:space="preserve">Inclusion and exclusion criteria were clearly outlined. </w:t>
            </w:r>
          </w:p>
        </w:tc>
        <w:tc>
          <w:tcPr>
            <w:tcW w:w="4841" w:type="dxa"/>
            <w:shd w:val="clear" w:color="auto" w:fill="FFFFFF" w:themeFill="background1"/>
          </w:tcPr>
          <w:p w:rsidR="00066E04" w:rsidRPr="0076294A" w:rsidRDefault="00066E04" w:rsidP="00B90204">
            <w:pPr>
              <w:spacing w:before="100" w:beforeAutospacing="1" w:after="100" w:afterAutospacing="1"/>
              <w:rPr>
                <w:sz w:val="20"/>
                <w:szCs w:val="20"/>
              </w:rPr>
            </w:pPr>
          </w:p>
          <w:p w:rsidR="00066E04" w:rsidRPr="0076294A" w:rsidRDefault="00066E04" w:rsidP="00B90204">
            <w:pPr>
              <w:pStyle w:val="ListParagraph"/>
              <w:numPr>
                <w:ilvl w:val="0"/>
                <w:numId w:val="10"/>
              </w:numPr>
              <w:spacing w:before="100" w:beforeAutospacing="1" w:after="100" w:afterAutospacing="1"/>
              <w:rPr>
                <w:sz w:val="20"/>
                <w:szCs w:val="20"/>
              </w:rPr>
            </w:pPr>
            <w:r w:rsidRPr="0076294A">
              <w:rPr>
                <w:sz w:val="20"/>
                <w:szCs w:val="20"/>
              </w:rPr>
              <w:t>Power sampling not included</w:t>
            </w:r>
          </w:p>
          <w:p w:rsidR="00066E04" w:rsidRPr="0076294A" w:rsidRDefault="00066E04" w:rsidP="00B90204">
            <w:pPr>
              <w:spacing w:before="100" w:beforeAutospacing="1" w:after="100" w:afterAutospacing="1"/>
              <w:rPr>
                <w:sz w:val="20"/>
                <w:szCs w:val="20"/>
              </w:rPr>
            </w:pPr>
          </w:p>
        </w:tc>
      </w:tr>
      <w:tr w:rsidR="0076294A" w:rsidRPr="0076294A" w:rsidTr="00B90204">
        <w:trPr>
          <w:trHeight w:val="288"/>
          <w:jc w:val="center"/>
        </w:trPr>
        <w:tc>
          <w:tcPr>
            <w:tcW w:w="1245" w:type="dxa"/>
            <w:tcBorders>
              <w:bottom w:val="single" w:sz="4" w:space="0" w:color="000000"/>
            </w:tcBorders>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III. METHODS</w:t>
            </w:r>
          </w:p>
          <w:p w:rsidR="00066E04" w:rsidRPr="0076294A" w:rsidRDefault="00066E04" w:rsidP="00B90204">
            <w:pPr>
              <w:spacing w:before="100" w:beforeAutospacing="1" w:after="100" w:afterAutospacing="1"/>
              <w:jc w:val="center"/>
              <w:rPr>
                <w:b/>
                <w:sz w:val="20"/>
                <w:szCs w:val="20"/>
              </w:rPr>
            </w:pPr>
            <w:r w:rsidRPr="0076294A">
              <w:rPr>
                <w:b/>
                <w:sz w:val="20"/>
                <w:szCs w:val="20"/>
              </w:rPr>
              <w:t>(Intervention Protocol and Data Collection</w:t>
            </w:r>
          </w:p>
        </w:tc>
        <w:tc>
          <w:tcPr>
            <w:tcW w:w="4770" w:type="dxa"/>
            <w:gridSpan w:val="3"/>
            <w:tcBorders>
              <w:bottom w:val="single" w:sz="4" w:space="0" w:color="000000"/>
            </w:tcBorders>
            <w:shd w:val="clear" w:color="auto" w:fill="FFFFFF" w:themeFill="background1"/>
          </w:tcPr>
          <w:p w:rsidR="00066E04" w:rsidRPr="0076294A" w:rsidRDefault="00066E04" w:rsidP="00B90204">
            <w:pPr>
              <w:pStyle w:val="ListParagraph"/>
              <w:numPr>
                <w:ilvl w:val="0"/>
                <w:numId w:val="8"/>
              </w:numPr>
              <w:spacing w:before="100" w:beforeAutospacing="1" w:after="100" w:afterAutospacing="1"/>
              <w:rPr>
                <w:bCs/>
                <w:sz w:val="20"/>
                <w:szCs w:val="20"/>
              </w:rPr>
            </w:pPr>
            <w:r w:rsidRPr="0076294A">
              <w:rPr>
                <w:bCs/>
                <w:sz w:val="20"/>
                <w:szCs w:val="20"/>
              </w:rPr>
              <w:t xml:space="preserve">Consistent drug administration for the control groups </w:t>
            </w:r>
          </w:p>
          <w:p w:rsidR="00066E04" w:rsidRPr="0076294A" w:rsidRDefault="00066E04" w:rsidP="00B90204">
            <w:pPr>
              <w:pStyle w:val="ListParagraph"/>
              <w:numPr>
                <w:ilvl w:val="0"/>
                <w:numId w:val="8"/>
              </w:numPr>
              <w:spacing w:before="100" w:beforeAutospacing="1" w:after="100" w:afterAutospacing="1"/>
              <w:rPr>
                <w:bCs/>
                <w:sz w:val="20"/>
                <w:szCs w:val="20"/>
              </w:rPr>
            </w:pPr>
            <w:r w:rsidRPr="0076294A">
              <w:rPr>
                <w:bCs/>
                <w:sz w:val="20"/>
                <w:szCs w:val="20"/>
              </w:rPr>
              <w:t>Cleardata collection methods were utilized</w:t>
            </w:r>
          </w:p>
          <w:p w:rsidR="00066E04" w:rsidRPr="0076294A" w:rsidRDefault="00066E04" w:rsidP="00B90204">
            <w:pPr>
              <w:pStyle w:val="ListParagraph"/>
              <w:numPr>
                <w:ilvl w:val="0"/>
                <w:numId w:val="8"/>
              </w:numPr>
              <w:spacing w:before="100" w:beforeAutospacing="1" w:after="100" w:afterAutospacing="1"/>
              <w:rPr>
                <w:bCs/>
                <w:sz w:val="20"/>
                <w:szCs w:val="20"/>
              </w:rPr>
            </w:pPr>
            <w:r w:rsidRPr="0076294A">
              <w:rPr>
                <w:bCs/>
                <w:sz w:val="20"/>
                <w:szCs w:val="20"/>
              </w:rPr>
              <w:t>Precise data analysis methods were implemented</w:t>
            </w:r>
          </w:p>
          <w:p w:rsidR="00066E04" w:rsidRPr="0076294A" w:rsidRDefault="00066E04" w:rsidP="00B90204">
            <w:pPr>
              <w:pStyle w:val="ListParagraph"/>
              <w:numPr>
                <w:ilvl w:val="0"/>
                <w:numId w:val="8"/>
              </w:numPr>
              <w:spacing w:before="100" w:beforeAutospacing="1" w:after="100" w:afterAutospacing="1"/>
              <w:rPr>
                <w:bCs/>
                <w:sz w:val="20"/>
                <w:szCs w:val="20"/>
              </w:rPr>
            </w:pPr>
            <w:r w:rsidRPr="0076294A">
              <w:rPr>
                <w:bCs/>
                <w:sz w:val="20"/>
                <w:szCs w:val="20"/>
              </w:rPr>
              <w:t xml:space="preserve">Clear measures were outlined to measure the dependable variables. </w:t>
            </w:r>
          </w:p>
        </w:tc>
        <w:tc>
          <w:tcPr>
            <w:tcW w:w="4841" w:type="dxa"/>
            <w:tcBorders>
              <w:bottom w:val="single" w:sz="4" w:space="0" w:color="000000"/>
            </w:tcBorders>
            <w:shd w:val="clear" w:color="auto" w:fill="FFFFFF" w:themeFill="background1"/>
          </w:tcPr>
          <w:p w:rsidR="00066E04" w:rsidRPr="0076294A" w:rsidRDefault="00066E04" w:rsidP="00B90204">
            <w:pPr>
              <w:spacing w:before="100" w:beforeAutospacing="1" w:after="100" w:afterAutospacing="1"/>
              <w:rPr>
                <w:bCs/>
                <w:sz w:val="20"/>
                <w:szCs w:val="20"/>
              </w:rPr>
            </w:pPr>
          </w:p>
          <w:p w:rsidR="00066E04" w:rsidRPr="0076294A" w:rsidRDefault="00066E04" w:rsidP="00B90204">
            <w:pPr>
              <w:pStyle w:val="ListParagraph"/>
              <w:numPr>
                <w:ilvl w:val="0"/>
                <w:numId w:val="9"/>
              </w:numPr>
              <w:spacing w:before="100" w:beforeAutospacing="1" w:after="100" w:afterAutospacing="1"/>
              <w:rPr>
                <w:bCs/>
                <w:sz w:val="20"/>
                <w:szCs w:val="20"/>
              </w:rPr>
            </w:pPr>
            <w:r w:rsidRPr="0076294A">
              <w:rPr>
                <w:bCs/>
                <w:sz w:val="20"/>
                <w:szCs w:val="20"/>
              </w:rPr>
              <w:t>Variables were not early outlined.</w:t>
            </w:r>
          </w:p>
          <w:p w:rsidR="00066E04" w:rsidRPr="0076294A" w:rsidRDefault="00066E04" w:rsidP="00B90204">
            <w:pPr>
              <w:pStyle w:val="ListParagraph"/>
              <w:numPr>
                <w:ilvl w:val="0"/>
                <w:numId w:val="9"/>
              </w:numPr>
              <w:spacing w:before="100" w:beforeAutospacing="1" w:after="100" w:afterAutospacing="1"/>
              <w:rPr>
                <w:bCs/>
                <w:sz w:val="20"/>
                <w:szCs w:val="20"/>
              </w:rPr>
            </w:pPr>
            <w:r w:rsidRPr="0076294A">
              <w:rPr>
                <w:bCs/>
                <w:sz w:val="20"/>
                <w:szCs w:val="20"/>
              </w:rPr>
              <w:t>Few variables were outlined.</w:t>
            </w:r>
          </w:p>
          <w:p w:rsidR="00066E04" w:rsidRPr="0076294A" w:rsidRDefault="00066E04" w:rsidP="00B90204">
            <w:pPr>
              <w:spacing w:before="100" w:beforeAutospacing="1" w:after="100" w:afterAutospacing="1"/>
              <w:rPr>
                <w:bCs/>
                <w:sz w:val="20"/>
                <w:szCs w:val="20"/>
              </w:rPr>
            </w:pPr>
          </w:p>
        </w:tc>
      </w:tr>
      <w:tr w:rsidR="0076294A" w:rsidRPr="0076294A" w:rsidTr="00B90204">
        <w:trPr>
          <w:trHeight w:val="288"/>
          <w:jc w:val="center"/>
        </w:trPr>
        <w:tc>
          <w:tcPr>
            <w:tcW w:w="4935" w:type="dxa"/>
            <w:gridSpan w:val="3"/>
            <w:tcBorders>
              <w:bottom w:val="single" w:sz="4" w:space="0" w:color="000000"/>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Level Rating:  (Melnyk, 2019)</w:t>
            </w:r>
          </w:p>
        </w:tc>
        <w:tc>
          <w:tcPr>
            <w:tcW w:w="5921" w:type="dxa"/>
            <w:gridSpan w:val="2"/>
            <w:tcBorders>
              <w:bottom w:val="single" w:sz="4" w:space="0" w:color="000000"/>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Quality Rating: (JHNEBP) B</w:t>
            </w:r>
          </w:p>
        </w:tc>
      </w:tr>
      <w:tr w:rsidR="0076294A" w:rsidRPr="0076294A" w:rsidTr="00B90204">
        <w:trPr>
          <w:trHeight w:val="288"/>
          <w:jc w:val="center"/>
        </w:trPr>
        <w:tc>
          <w:tcPr>
            <w:tcW w:w="10856" w:type="dxa"/>
            <w:gridSpan w:val="5"/>
            <w:tcBorders>
              <w:top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
                <w:sz w:val="20"/>
                <w:szCs w:val="20"/>
              </w:rPr>
            </w:pPr>
            <w:r w:rsidRPr="0076294A">
              <w:rPr>
                <w:b/>
                <w:sz w:val="20"/>
                <w:szCs w:val="20"/>
              </w:rPr>
              <w:t>Study #3 Citation:</w:t>
            </w:r>
            <w:r w:rsidRPr="0076294A">
              <w:t xml:space="preserve"> </w:t>
            </w:r>
            <w:r w:rsidRPr="0076294A">
              <w:rPr>
                <w:sz w:val="20"/>
                <w:szCs w:val="20"/>
              </w:rPr>
              <w:t>Nunes Jr, E. V., Scodes, J. M., Pavlicova, M., Lee, J. D., Novo, P., Campbell, A. N., &amp; Rotrosen, J. (2021). Sublingual buprenorphine-naloxone compared with injection naltrexone for opioid use disorder: potential utility of patient characteristics in guiding the choice of treatment. American Journal of Psychiatry, 178(7), 660-671.</w:t>
            </w:r>
          </w:p>
        </w:tc>
      </w:tr>
      <w:tr w:rsidR="0076294A" w:rsidRPr="0076294A" w:rsidTr="00B90204">
        <w:trPr>
          <w:trHeight w:val="288"/>
          <w:jc w:val="center"/>
        </w:trPr>
        <w:tc>
          <w:tcPr>
            <w:tcW w:w="1245" w:type="dxa"/>
            <w:shd w:val="clear" w:color="auto" w:fill="DDD9C3" w:themeFill="background2" w:themeFillShade="E6"/>
          </w:tcPr>
          <w:p w:rsidR="00066E04" w:rsidRPr="0076294A" w:rsidRDefault="00066E04" w:rsidP="00B90204">
            <w:pPr>
              <w:spacing w:before="100" w:beforeAutospacing="1" w:after="100" w:afterAutospacing="1"/>
              <w:rPr>
                <w:b/>
                <w:sz w:val="20"/>
                <w:szCs w:val="20"/>
              </w:rPr>
            </w:pPr>
          </w:p>
        </w:tc>
        <w:tc>
          <w:tcPr>
            <w:tcW w:w="4770" w:type="dxa"/>
            <w:gridSpan w:val="3"/>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STRENGTH</w:t>
            </w:r>
          </w:p>
        </w:tc>
        <w:tc>
          <w:tcPr>
            <w:tcW w:w="4841" w:type="dxa"/>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WEAKNESS</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sz w:val="20"/>
                <w:szCs w:val="20"/>
              </w:rPr>
            </w:pPr>
            <w:r w:rsidRPr="0076294A">
              <w:rPr>
                <w:b/>
                <w:sz w:val="20"/>
                <w:szCs w:val="20"/>
              </w:rPr>
              <w:t>I. DESIGN</w:t>
            </w:r>
          </w:p>
        </w:tc>
        <w:tc>
          <w:tcPr>
            <w:tcW w:w="4770" w:type="dxa"/>
            <w:gridSpan w:val="3"/>
            <w:shd w:val="clear" w:color="auto" w:fill="FFFFFF" w:themeFill="background1"/>
          </w:tcPr>
          <w:p w:rsidR="00066E04" w:rsidRPr="0076294A" w:rsidRDefault="00066E04" w:rsidP="00B90204">
            <w:pPr>
              <w:pStyle w:val="ListParagraph"/>
              <w:numPr>
                <w:ilvl w:val="0"/>
                <w:numId w:val="17"/>
              </w:numPr>
              <w:spacing w:before="100" w:beforeAutospacing="1" w:after="100" w:afterAutospacing="1"/>
              <w:rPr>
                <w:bCs/>
                <w:sz w:val="20"/>
                <w:szCs w:val="20"/>
              </w:rPr>
            </w:pPr>
            <w:r w:rsidRPr="0076294A">
              <w:rPr>
                <w:bCs/>
                <w:sz w:val="20"/>
                <w:szCs w:val="20"/>
              </w:rPr>
              <w:t>Randomized control trials adopted</w:t>
            </w:r>
          </w:p>
          <w:p w:rsidR="00066E04" w:rsidRPr="0076294A" w:rsidRDefault="00066E04" w:rsidP="00B90204">
            <w:pPr>
              <w:pStyle w:val="ListParagraph"/>
              <w:numPr>
                <w:ilvl w:val="0"/>
                <w:numId w:val="11"/>
              </w:numPr>
              <w:spacing w:before="100" w:beforeAutospacing="1" w:after="100" w:afterAutospacing="1"/>
              <w:rPr>
                <w:bCs/>
                <w:sz w:val="20"/>
                <w:szCs w:val="20"/>
              </w:rPr>
            </w:pPr>
            <w:r w:rsidRPr="0076294A">
              <w:rPr>
                <w:bCs/>
                <w:sz w:val="20"/>
                <w:szCs w:val="20"/>
              </w:rPr>
              <w:t>Past literature was reviewed</w:t>
            </w:r>
          </w:p>
          <w:p w:rsidR="00066E04" w:rsidRPr="0076294A" w:rsidRDefault="00066E04" w:rsidP="00B90204">
            <w:pPr>
              <w:pStyle w:val="ListParagraph"/>
              <w:numPr>
                <w:ilvl w:val="0"/>
                <w:numId w:val="11"/>
              </w:numPr>
              <w:spacing w:before="100" w:beforeAutospacing="1" w:after="100" w:afterAutospacing="1"/>
              <w:rPr>
                <w:bCs/>
                <w:sz w:val="20"/>
                <w:szCs w:val="20"/>
              </w:rPr>
            </w:pPr>
            <w:r w:rsidRPr="0076294A">
              <w:rPr>
                <w:bCs/>
                <w:sz w:val="20"/>
                <w:szCs w:val="20"/>
              </w:rPr>
              <w:t xml:space="preserve">Multiple sites were utilized in the study </w:t>
            </w:r>
          </w:p>
        </w:tc>
        <w:tc>
          <w:tcPr>
            <w:tcW w:w="4841" w:type="dxa"/>
            <w:shd w:val="clear" w:color="auto" w:fill="FFFFFF" w:themeFill="background1"/>
          </w:tcPr>
          <w:p w:rsidR="00066E04" w:rsidRPr="0076294A" w:rsidRDefault="00066E04" w:rsidP="00B90204">
            <w:pPr>
              <w:pStyle w:val="ListParagraph"/>
              <w:numPr>
                <w:ilvl w:val="0"/>
                <w:numId w:val="11"/>
              </w:numPr>
              <w:spacing w:before="100" w:beforeAutospacing="1" w:after="100" w:afterAutospacing="1"/>
              <w:rPr>
                <w:sz w:val="20"/>
                <w:szCs w:val="20"/>
              </w:rPr>
            </w:pPr>
            <w:r w:rsidRPr="0076294A">
              <w:rPr>
                <w:sz w:val="20"/>
                <w:szCs w:val="20"/>
              </w:rPr>
              <w:t>The theoretic framework was emitted</w:t>
            </w:r>
          </w:p>
          <w:p w:rsidR="00066E04" w:rsidRPr="0076294A" w:rsidRDefault="00066E04" w:rsidP="00B90204">
            <w:pPr>
              <w:pStyle w:val="ListParagraph"/>
              <w:numPr>
                <w:ilvl w:val="0"/>
                <w:numId w:val="11"/>
              </w:numPr>
              <w:spacing w:before="100" w:beforeAutospacing="1" w:after="100" w:afterAutospacing="1"/>
              <w:rPr>
                <w:sz w:val="20"/>
                <w:szCs w:val="20"/>
              </w:rPr>
            </w:pPr>
            <w:r w:rsidRPr="0076294A">
              <w:rPr>
                <w:sz w:val="20"/>
                <w:szCs w:val="20"/>
              </w:rPr>
              <w:t xml:space="preserve">No double-blinding of participants </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 SAMPLE</w:t>
            </w:r>
          </w:p>
          <w:p w:rsidR="00066E04" w:rsidRPr="0076294A" w:rsidRDefault="00066E04" w:rsidP="00B90204">
            <w:pPr>
              <w:spacing w:before="100" w:beforeAutospacing="1" w:after="100" w:afterAutospacing="1"/>
              <w:jc w:val="center"/>
              <w:rPr>
                <w:b/>
                <w:sz w:val="20"/>
                <w:szCs w:val="20"/>
              </w:rPr>
            </w:pPr>
          </w:p>
        </w:tc>
        <w:tc>
          <w:tcPr>
            <w:tcW w:w="4770" w:type="dxa"/>
            <w:gridSpan w:val="3"/>
            <w:shd w:val="clear" w:color="auto" w:fill="FFFFFF" w:themeFill="background1"/>
          </w:tcPr>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 xml:space="preserve">Group homogeneity </w:t>
            </w:r>
          </w:p>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Explicit inclusion and exclusion criteria outlined</w:t>
            </w:r>
          </w:p>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 xml:space="preserve">Power analysis </w:t>
            </w:r>
          </w:p>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Participants were randomly assigned to treatment methods</w:t>
            </w:r>
          </w:p>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All participants completed the study</w:t>
            </w:r>
          </w:p>
        </w:tc>
        <w:tc>
          <w:tcPr>
            <w:tcW w:w="4841" w:type="dxa"/>
            <w:shd w:val="clear" w:color="auto" w:fill="FFFFFF" w:themeFill="background1"/>
          </w:tcPr>
          <w:p w:rsidR="00066E04" w:rsidRPr="0076294A" w:rsidRDefault="00066E04" w:rsidP="00B90204">
            <w:pPr>
              <w:pStyle w:val="ListParagraph"/>
              <w:numPr>
                <w:ilvl w:val="0"/>
                <w:numId w:val="12"/>
              </w:numPr>
              <w:spacing w:before="100" w:beforeAutospacing="1" w:after="100" w:afterAutospacing="1"/>
              <w:rPr>
                <w:bCs/>
                <w:sz w:val="20"/>
                <w:szCs w:val="20"/>
              </w:rPr>
            </w:pPr>
            <w:r w:rsidRPr="0076294A">
              <w:rPr>
                <w:bCs/>
                <w:sz w:val="20"/>
                <w:szCs w:val="20"/>
              </w:rPr>
              <w:t xml:space="preserve">Grab sampling </w:t>
            </w:r>
          </w:p>
          <w:p w:rsidR="00066E04" w:rsidRPr="0076294A" w:rsidRDefault="00066E04" w:rsidP="00B90204">
            <w:pPr>
              <w:pStyle w:val="ListParagraph"/>
              <w:spacing w:before="100" w:beforeAutospacing="1" w:after="100" w:afterAutospacing="1"/>
              <w:rPr>
                <w:bCs/>
                <w:sz w:val="20"/>
                <w:szCs w:val="20"/>
              </w:rPr>
            </w:pPr>
          </w:p>
        </w:tc>
      </w:tr>
      <w:tr w:rsidR="0076294A" w:rsidRPr="0076294A" w:rsidTr="00B90204">
        <w:trPr>
          <w:trHeight w:val="440"/>
          <w:jc w:val="center"/>
        </w:trPr>
        <w:tc>
          <w:tcPr>
            <w:tcW w:w="1245" w:type="dxa"/>
            <w:tcBorders>
              <w:bottom w:val="single" w:sz="4" w:space="0" w:color="000000"/>
            </w:tcBorders>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III. METHODS</w:t>
            </w:r>
          </w:p>
          <w:p w:rsidR="00066E04" w:rsidRPr="0076294A" w:rsidRDefault="00066E04" w:rsidP="00B90204">
            <w:pPr>
              <w:spacing w:before="100" w:beforeAutospacing="1" w:after="100" w:afterAutospacing="1"/>
              <w:jc w:val="center"/>
              <w:rPr>
                <w:b/>
                <w:sz w:val="20"/>
                <w:szCs w:val="20"/>
                <w:u w:val="single"/>
              </w:rPr>
            </w:pPr>
            <w:r w:rsidRPr="0076294A">
              <w:rPr>
                <w:b/>
                <w:sz w:val="20"/>
                <w:szCs w:val="20"/>
              </w:rPr>
              <w:t>(Intervention Protocol and Data Collection</w:t>
            </w:r>
          </w:p>
        </w:tc>
        <w:tc>
          <w:tcPr>
            <w:tcW w:w="4770" w:type="dxa"/>
            <w:gridSpan w:val="3"/>
            <w:tcBorders>
              <w:bottom w:val="single" w:sz="4" w:space="0" w:color="000000"/>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 xml:space="preserve">Dependent variables were clearly outlined </w:t>
            </w:r>
          </w:p>
          <w:p w:rsidR="00066E04" w:rsidRPr="0076294A" w:rsidRDefault="00066E04" w:rsidP="00B90204">
            <w:pPr>
              <w:spacing w:before="100" w:beforeAutospacing="1" w:after="100" w:afterAutospacing="1"/>
              <w:rPr>
                <w:bCs/>
                <w:sz w:val="20"/>
                <w:szCs w:val="20"/>
              </w:rPr>
            </w:pPr>
            <w:r w:rsidRPr="0076294A">
              <w:rPr>
                <w:bCs/>
                <w:sz w:val="20"/>
                <w:szCs w:val="20"/>
              </w:rPr>
              <w:t>Dependent variables were easily measured example, demographic data.</w:t>
            </w:r>
          </w:p>
        </w:tc>
        <w:tc>
          <w:tcPr>
            <w:tcW w:w="4841" w:type="dxa"/>
            <w:tcBorders>
              <w:bottom w:val="single" w:sz="4" w:space="0" w:color="000000"/>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 xml:space="preserve"> Too many dependent variables were considered (50 variables were considered in the study, such as; age, ethnicity, gender, among others)</w:t>
            </w:r>
          </w:p>
          <w:p w:rsidR="00066E04" w:rsidRPr="0076294A" w:rsidRDefault="00066E04" w:rsidP="00B90204">
            <w:pPr>
              <w:spacing w:before="100" w:beforeAutospacing="1" w:after="100" w:afterAutospacing="1"/>
              <w:rPr>
                <w:sz w:val="20"/>
                <w:szCs w:val="20"/>
                <w:shd w:val="clear" w:color="auto" w:fill="FFFFFF"/>
              </w:rPr>
            </w:pPr>
            <w:r w:rsidRPr="0076294A">
              <w:rPr>
                <w:bCs/>
                <w:sz w:val="20"/>
                <w:szCs w:val="20"/>
              </w:rPr>
              <w:t xml:space="preserve">Procedure fidelity was omitted in the study </w:t>
            </w:r>
          </w:p>
        </w:tc>
      </w:tr>
      <w:tr w:rsidR="0076294A" w:rsidRPr="0076294A" w:rsidTr="00B90204">
        <w:trPr>
          <w:trHeight w:val="108"/>
          <w:jc w:val="center"/>
        </w:trPr>
        <w:tc>
          <w:tcPr>
            <w:tcW w:w="4665" w:type="dxa"/>
            <w:gridSpan w:val="2"/>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Level Rating: (Melnyk, 2019)</w:t>
            </w:r>
          </w:p>
        </w:tc>
        <w:tc>
          <w:tcPr>
            <w:tcW w:w="6191" w:type="dxa"/>
            <w:gridSpan w:val="3"/>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Quality Rating: (JHNEBP) B</w:t>
            </w:r>
          </w:p>
        </w:tc>
      </w:tr>
      <w:tr w:rsidR="0076294A" w:rsidRPr="0076294A" w:rsidTr="00B90204">
        <w:trPr>
          <w:trHeight w:val="288"/>
          <w:jc w:val="center"/>
        </w:trPr>
        <w:tc>
          <w:tcPr>
            <w:tcW w:w="10856" w:type="dxa"/>
            <w:gridSpan w:val="5"/>
            <w:tcBorders>
              <w:top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
                <w:sz w:val="20"/>
                <w:szCs w:val="20"/>
              </w:rPr>
            </w:pPr>
            <w:r w:rsidRPr="0076294A">
              <w:rPr>
                <w:b/>
                <w:sz w:val="20"/>
                <w:szCs w:val="20"/>
              </w:rPr>
              <w:t>Study #4 Citation:</w:t>
            </w:r>
            <w:r w:rsidRPr="0076294A">
              <w:t xml:space="preserve"> </w:t>
            </w:r>
            <w:r w:rsidRPr="0076294A">
              <w:rPr>
                <w:sz w:val="20"/>
                <w:szCs w:val="20"/>
              </w:rPr>
              <w:t>Saeed, S. A., &amp; Stanciu, C. (2019). Injectable extended-release naltrexone for opioid dependence: 3 studies. Current Psychiatry, 18(1), 39.</w:t>
            </w:r>
          </w:p>
        </w:tc>
      </w:tr>
      <w:tr w:rsidR="0076294A" w:rsidRPr="0076294A" w:rsidTr="00B90204">
        <w:trPr>
          <w:trHeight w:val="288"/>
          <w:jc w:val="center"/>
        </w:trPr>
        <w:tc>
          <w:tcPr>
            <w:tcW w:w="1245" w:type="dxa"/>
            <w:shd w:val="clear" w:color="auto" w:fill="DDD9C3" w:themeFill="background2" w:themeFillShade="E6"/>
          </w:tcPr>
          <w:p w:rsidR="00066E04" w:rsidRPr="0076294A" w:rsidRDefault="00066E04" w:rsidP="00B90204">
            <w:pPr>
              <w:spacing w:before="100" w:beforeAutospacing="1" w:after="100" w:afterAutospacing="1"/>
              <w:rPr>
                <w:b/>
                <w:sz w:val="20"/>
                <w:szCs w:val="20"/>
              </w:rPr>
            </w:pPr>
          </w:p>
        </w:tc>
        <w:tc>
          <w:tcPr>
            <w:tcW w:w="4770" w:type="dxa"/>
            <w:gridSpan w:val="3"/>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STRENGTH</w:t>
            </w:r>
          </w:p>
        </w:tc>
        <w:tc>
          <w:tcPr>
            <w:tcW w:w="4841" w:type="dxa"/>
            <w:shd w:val="clear" w:color="auto" w:fill="DDD9C3" w:themeFill="background2" w:themeFillShade="E6"/>
          </w:tcPr>
          <w:p w:rsidR="00066E04" w:rsidRPr="0076294A" w:rsidRDefault="00066E04" w:rsidP="00B90204">
            <w:pPr>
              <w:spacing w:before="100" w:beforeAutospacing="1" w:after="100" w:afterAutospacing="1"/>
              <w:jc w:val="center"/>
              <w:rPr>
                <w:b/>
                <w:sz w:val="20"/>
                <w:szCs w:val="20"/>
              </w:rPr>
            </w:pPr>
            <w:r w:rsidRPr="0076294A">
              <w:rPr>
                <w:b/>
                <w:sz w:val="20"/>
                <w:szCs w:val="20"/>
              </w:rPr>
              <w:t>WEAKNESS</w:t>
            </w:r>
          </w:p>
        </w:tc>
      </w:tr>
      <w:tr w:rsidR="0076294A" w:rsidRPr="0076294A" w:rsidTr="00B90204">
        <w:trPr>
          <w:trHeight w:val="1205"/>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bookmarkStart w:id="1" w:name="_Hlk45555551"/>
            <w:r w:rsidRPr="0076294A">
              <w:rPr>
                <w:b/>
                <w:sz w:val="20"/>
                <w:szCs w:val="20"/>
              </w:rPr>
              <w:t>I. DESIGN</w:t>
            </w:r>
          </w:p>
        </w:tc>
        <w:tc>
          <w:tcPr>
            <w:tcW w:w="4770" w:type="dxa"/>
            <w:gridSpan w:val="3"/>
            <w:shd w:val="clear" w:color="auto" w:fill="FFFFFF" w:themeFill="background1"/>
          </w:tcPr>
          <w:p w:rsidR="00066E04" w:rsidRPr="0076294A" w:rsidRDefault="00066E04" w:rsidP="00B90204">
            <w:pPr>
              <w:pStyle w:val="ListParagraph"/>
              <w:numPr>
                <w:ilvl w:val="0"/>
                <w:numId w:val="14"/>
              </w:numPr>
              <w:spacing w:before="100" w:beforeAutospacing="1" w:after="100" w:afterAutospacing="1"/>
              <w:rPr>
                <w:bCs/>
                <w:sz w:val="20"/>
                <w:szCs w:val="20"/>
              </w:rPr>
            </w:pPr>
            <w:r w:rsidRPr="0076294A">
              <w:rPr>
                <w:bCs/>
                <w:sz w:val="20"/>
                <w:szCs w:val="20"/>
              </w:rPr>
              <w:t>An experimental research design was adopted</w:t>
            </w:r>
          </w:p>
          <w:p w:rsidR="00066E04" w:rsidRPr="0076294A" w:rsidRDefault="00066E04" w:rsidP="00B90204">
            <w:pPr>
              <w:pStyle w:val="ListParagraph"/>
              <w:numPr>
                <w:ilvl w:val="0"/>
                <w:numId w:val="14"/>
              </w:numPr>
              <w:spacing w:before="100" w:beforeAutospacing="1" w:after="100" w:afterAutospacing="1"/>
              <w:ind w:left="360"/>
              <w:rPr>
                <w:bCs/>
                <w:sz w:val="20"/>
                <w:szCs w:val="20"/>
              </w:rPr>
            </w:pPr>
            <w:r w:rsidRPr="0076294A">
              <w:rPr>
                <w:bCs/>
                <w:sz w:val="20"/>
                <w:szCs w:val="20"/>
              </w:rPr>
              <w:t>Multi-randomized researches adopted</w:t>
            </w:r>
          </w:p>
        </w:tc>
        <w:tc>
          <w:tcPr>
            <w:tcW w:w="4841" w:type="dxa"/>
            <w:shd w:val="clear" w:color="auto" w:fill="FFFFFF" w:themeFill="background1"/>
          </w:tcPr>
          <w:p w:rsidR="00066E04" w:rsidRPr="0076294A" w:rsidRDefault="00066E04" w:rsidP="00B90204">
            <w:pPr>
              <w:pStyle w:val="ListParagraph"/>
              <w:numPr>
                <w:ilvl w:val="0"/>
                <w:numId w:val="13"/>
              </w:numPr>
              <w:spacing w:before="100" w:beforeAutospacing="1" w:after="100" w:afterAutospacing="1"/>
              <w:rPr>
                <w:bCs/>
                <w:sz w:val="20"/>
                <w:szCs w:val="20"/>
              </w:rPr>
            </w:pPr>
            <w:r w:rsidRPr="0076294A">
              <w:rPr>
                <w:bCs/>
                <w:sz w:val="20"/>
                <w:szCs w:val="20"/>
              </w:rPr>
              <w:t>Limited literature review</w:t>
            </w:r>
          </w:p>
          <w:p w:rsidR="00066E04" w:rsidRPr="0076294A" w:rsidRDefault="00066E04" w:rsidP="00B90204">
            <w:pPr>
              <w:pStyle w:val="ListParagraph"/>
              <w:numPr>
                <w:ilvl w:val="0"/>
                <w:numId w:val="13"/>
              </w:numPr>
              <w:spacing w:before="100" w:beforeAutospacing="1" w:after="100" w:afterAutospacing="1"/>
              <w:rPr>
                <w:bCs/>
                <w:sz w:val="20"/>
                <w:szCs w:val="20"/>
              </w:rPr>
            </w:pPr>
            <w:r w:rsidRPr="0076294A">
              <w:rPr>
                <w:bCs/>
                <w:sz w:val="20"/>
                <w:szCs w:val="20"/>
              </w:rPr>
              <w:t xml:space="preserve">Theoretic framework omitted </w:t>
            </w:r>
          </w:p>
        </w:tc>
      </w:tr>
      <w:tr w:rsidR="0076294A" w:rsidRPr="0076294A" w:rsidTr="00B90204">
        <w:trPr>
          <w:trHeight w:val="288"/>
          <w:jc w:val="center"/>
        </w:trPr>
        <w:tc>
          <w:tcPr>
            <w:tcW w:w="1245" w:type="dxa"/>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 SAMPLE</w:t>
            </w:r>
          </w:p>
        </w:tc>
        <w:tc>
          <w:tcPr>
            <w:tcW w:w="4770" w:type="dxa"/>
            <w:gridSpan w:val="3"/>
            <w:shd w:val="clear" w:color="auto" w:fill="FFFFFF" w:themeFill="background1"/>
          </w:tcPr>
          <w:p w:rsidR="00066E04" w:rsidRPr="0076294A" w:rsidRDefault="00066E04" w:rsidP="00B90204">
            <w:pPr>
              <w:spacing w:before="100" w:beforeAutospacing="1" w:after="100" w:afterAutospacing="1"/>
              <w:rPr>
                <w:bCs/>
                <w:sz w:val="20"/>
                <w:szCs w:val="20"/>
              </w:rPr>
            </w:pPr>
          </w:p>
          <w:p w:rsidR="00066E04" w:rsidRPr="0076294A" w:rsidRDefault="00066E04" w:rsidP="00B90204">
            <w:pPr>
              <w:pStyle w:val="ListParagraph"/>
              <w:numPr>
                <w:ilvl w:val="0"/>
                <w:numId w:val="15"/>
              </w:numPr>
              <w:spacing w:before="100" w:beforeAutospacing="1" w:after="100" w:afterAutospacing="1"/>
              <w:rPr>
                <w:bCs/>
                <w:sz w:val="20"/>
                <w:szCs w:val="20"/>
              </w:rPr>
            </w:pPr>
            <w:r w:rsidRPr="0076294A">
              <w:rPr>
                <w:bCs/>
                <w:sz w:val="20"/>
                <w:szCs w:val="20"/>
              </w:rPr>
              <w:t xml:space="preserve">Homogenous groups </w:t>
            </w:r>
          </w:p>
          <w:p w:rsidR="00066E04" w:rsidRPr="0076294A" w:rsidRDefault="00066E04" w:rsidP="00B90204">
            <w:pPr>
              <w:pStyle w:val="ListParagraph"/>
              <w:numPr>
                <w:ilvl w:val="0"/>
                <w:numId w:val="15"/>
              </w:numPr>
              <w:spacing w:before="100" w:beforeAutospacing="1" w:after="100" w:afterAutospacing="1"/>
              <w:rPr>
                <w:bCs/>
                <w:sz w:val="20"/>
                <w:szCs w:val="20"/>
              </w:rPr>
            </w:pPr>
            <w:r w:rsidRPr="0076294A">
              <w:rPr>
                <w:bCs/>
                <w:sz w:val="20"/>
                <w:szCs w:val="20"/>
              </w:rPr>
              <w:t xml:space="preserve">Inclusion and exclusion criteria were clearly outlined </w:t>
            </w:r>
          </w:p>
          <w:p w:rsidR="00066E04" w:rsidRPr="0076294A" w:rsidRDefault="00066E04" w:rsidP="00B90204">
            <w:pPr>
              <w:pStyle w:val="ListParagraph"/>
              <w:numPr>
                <w:ilvl w:val="0"/>
                <w:numId w:val="15"/>
              </w:numPr>
              <w:spacing w:before="100" w:beforeAutospacing="1" w:after="100" w:afterAutospacing="1"/>
              <w:rPr>
                <w:bCs/>
                <w:sz w:val="20"/>
                <w:szCs w:val="20"/>
              </w:rPr>
            </w:pPr>
            <w:r w:rsidRPr="0076294A">
              <w:rPr>
                <w:bCs/>
                <w:sz w:val="20"/>
                <w:szCs w:val="20"/>
              </w:rPr>
              <w:t>Participants were randomly assigned</w:t>
            </w:r>
          </w:p>
        </w:tc>
        <w:tc>
          <w:tcPr>
            <w:tcW w:w="4841" w:type="dxa"/>
            <w:shd w:val="clear" w:color="auto" w:fill="FFFFFF" w:themeFill="background1"/>
          </w:tcPr>
          <w:p w:rsidR="00066E04" w:rsidRPr="0076294A" w:rsidRDefault="00066E04" w:rsidP="00B90204">
            <w:pPr>
              <w:spacing w:before="100" w:beforeAutospacing="1" w:after="100" w:afterAutospacing="1"/>
              <w:ind w:left="360"/>
              <w:rPr>
                <w:bCs/>
                <w:sz w:val="20"/>
                <w:szCs w:val="20"/>
              </w:rPr>
            </w:pPr>
          </w:p>
          <w:p w:rsidR="00066E04" w:rsidRPr="0076294A" w:rsidRDefault="00066E04" w:rsidP="00B90204">
            <w:pPr>
              <w:spacing w:before="100" w:beforeAutospacing="1" w:after="100" w:afterAutospacing="1"/>
              <w:ind w:left="360"/>
              <w:rPr>
                <w:bCs/>
                <w:sz w:val="20"/>
                <w:szCs w:val="20"/>
              </w:rPr>
            </w:pPr>
          </w:p>
          <w:p w:rsidR="00066E04" w:rsidRPr="0076294A" w:rsidRDefault="00066E04" w:rsidP="00B90204">
            <w:pPr>
              <w:pStyle w:val="ListParagraph"/>
              <w:numPr>
                <w:ilvl w:val="0"/>
                <w:numId w:val="15"/>
              </w:numPr>
              <w:spacing w:before="100" w:beforeAutospacing="1" w:after="100" w:afterAutospacing="1"/>
              <w:rPr>
                <w:bCs/>
                <w:sz w:val="20"/>
                <w:szCs w:val="20"/>
              </w:rPr>
            </w:pPr>
            <w:r w:rsidRPr="0076294A">
              <w:rPr>
                <w:bCs/>
                <w:sz w:val="20"/>
                <w:szCs w:val="20"/>
              </w:rPr>
              <w:t>Convenience sampling</w:t>
            </w:r>
          </w:p>
          <w:p w:rsidR="00066E04" w:rsidRPr="0076294A" w:rsidRDefault="00066E04" w:rsidP="00B90204">
            <w:pPr>
              <w:spacing w:before="100" w:beforeAutospacing="1" w:after="100" w:afterAutospacing="1"/>
              <w:rPr>
                <w:bCs/>
                <w:sz w:val="20"/>
                <w:szCs w:val="20"/>
              </w:rPr>
            </w:pPr>
          </w:p>
        </w:tc>
      </w:tr>
      <w:tr w:rsidR="0076294A" w:rsidRPr="0076294A" w:rsidTr="00B90204">
        <w:trPr>
          <w:trHeight w:val="809"/>
          <w:jc w:val="center"/>
        </w:trPr>
        <w:tc>
          <w:tcPr>
            <w:tcW w:w="1245" w:type="dxa"/>
            <w:tcBorders>
              <w:bottom w:val="single" w:sz="4" w:space="0" w:color="000000"/>
            </w:tcBorders>
            <w:shd w:val="clear" w:color="auto" w:fill="FFFFFF" w:themeFill="background1"/>
            <w:vAlign w:val="center"/>
          </w:tcPr>
          <w:p w:rsidR="00066E04" w:rsidRPr="0076294A" w:rsidRDefault="00066E04" w:rsidP="00B90204">
            <w:pPr>
              <w:spacing w:before="100" w:beforeAutospacing="1" w:after="100" w:afterAutospacing="1"/>
              <w:jc w:val="center"/>
              <w:rPr>
                <w:b/>
                <w:sz w:val="20"/>
                <w:szCs w:val="20"/>
              </w:rPr>
            </w:pPr>
            <w:r w:rsidRPr="0076294A">
              <w:rPr>
                <w:b/>
                <w:sz w:val="20"/>
                <w:szCs w:val="20"/>
              </w:rPr>
              <w:t>III. METHODS</w:t>
            </w:r>
          </w:p>
          <w:p w:rsidR="00066E04" w:rsidRPr="0076294A" w:rsidRDefault="00066E04" w:rsidP="00B90204">
            <w:pPr>
              <w:spacing w:before="100" w:beforeAutospacing="1" w:after="100" w:afterAutospacing="1"/>
              <w:jc w:val="center"/>
              <w:rPr>
                <w:b/>
                <w:sz w:val="20"/>
                <w:szCs w:val="20"/>
                <w:u w:val="single"/>
              </w:rPr>
            </w:pPr>
            <w:r w:rsidRPr="0076294A">
              <w:rPr>
                <w:b/>
                <w:sz w:val="20"/>
                <w:szCs w:val="20"/>
              </w:rPr>
              <w:t>(Intervention Protocol and Data Collection</w:t>
            </w:r>
          </w:p>
        </w:tc>
        <w:tc>
          <w:tcPr>
            <w:tcW w:w="4770" w:type="dxa"/>
            <w:gridSpan w:val="3"/>
            <w:tcBorders>
              <w:bottom w:val="single" w:sz="4" w:space="0" w:color="000000"/>
            </w:tcBorders>
            <w:shd w:val="clear" w:color="auto" w:fill="FFFFFF" w:themeFill="background1"/>
          </w:tcPr>
          <w:p w:rsidR="00066E04" w:rsidRPr="0076294A" w:rsidRDefault="00066E04" w:rsidP="00B90204">
            <w:pPr>
              <w:pStyle w:val="ListParagraph"/>
              <w:numPr>
                <w:ilvl w:val="0"/>
                <w:numId w:val="16"/>
              </w:numPr>
              <w:spacing w:before="100" w:beforeAutospacing="1" w:after="100" w:afterAutospacing="1"/>
              <w:rPr>
                <w:bCs/>
                <w:sz w:val="20"/>
                <w:szCs w:val="20"/>
              </w:rPr>
            </w:pPr>
            <w:r w:rsidRPr="0076294A">
              <w:rPr>
                <w:bCs/>
                <w:sz w:val="20"/>
                <w:szCs w:val="20"/>
              </w:rPr>
              <w:t>Consistent treatment interventions</w:t>
            </w:r>
          </w:p>
          <w:p w:rsidR="00066E04" w:rsidRPr="0076294A" w:rsidRDefault="00066E04" w:rsidP="00B90204">
            <w:pPr>
              <w:pStyle w:val="ListParagraph"/>
              <w:numPr>
                <w:ilvl w:val="0"/>
                <w:numId w:val="16"/>
              </w:numPr>
              <w:spacing w:before="100" w:beforeAutospacing="1" w:after="100" w:afterAutospacing="1"/>
              <w:rPr>
                <w:bCs/>
                <w:sz w:val="20"/>
                <w:szCs w:val="20"/>
              </w:rPr>
            </w:pPr>
            <w:r w:rsidRPr="0076294A">
              <w:rPr>
                <w:bCs/>
                <w:sz w:val="20"/>
                <w:szCs w:val="20"/>
              </w:rPr>
              <w:t xml:space="preserve">The relapse rate was easily outlined </w:t>
            </w:r>
          </w:p>
        </w:tc>
        <w:tc>
          <w:tcPr>
            <w:tcW w:w="4841" w:type="dxa"/>
            <w:tcBorders>
              <w:bottom w:val="single" w:sz="4" w:space="0" w:color="000000"/>
            </w:tcBorders>
            <w:shd w:val="clear" w:color="auto" w:fill="FFFFFF" w:themeFill="background1"/>
          </w:tcPr>
          <w:p w:rsidR="00066E04" w:rsidRPr="0076294A" w:rsidRDefault="00066E04" w:rsidP="00B90204">
            <w:pPr>
              <w:pStyle w:val="NormalWeb"/>
              <w:ind w:left="720"/>
              <w:rPr>
                <w:sz w:val="20"/>
                <w:szCs w:val="20"/>
              </w:rPr>
            </w:pPr>
          </w:p>
          <w:p w:rsidR="00066E04" w:rsidRPr="0076294A" w:rsidRDefault="00066E04" w:rsidP="00B90204">
            <w:pPr>
              <w:pStyle w:val="NormalWeb"/>
              <w:numPr>
                <w:ilvl w:val="0"/>
                <w:numId w:val="16"/>
              </w:numPr>
              <w:rPr>
                <w:sz w:val="20"/>
                <w:szCs w:val="20"/>
              </w:rPr>
            </w:pPr>
            <w:r w:rsidRPr="0076294A">
              <w:rPr>
                <w:sz w:val="20"/>
                <w:szCs w:val="20"/>
              </w:rPr>
              <w:t>Data collection and analysis methods were not included in the research.</w:t>
            </w:r>
          </w:p>
        </w:tc>
      </w:tr>
      <w:bookmarkEnd w:id="1"/>
      <w:tr w:rsidR="0076294A" w:rsidRPr="0076294A" w:rsidTr="00B90204">
        <w:trPr>
          <w:trHeight w:val="108"/>
          <w:jc w:val="center"/>
        </w:trPr>
        <w:tc>
          <w:tcPr>
            <w:tcW w:w="4665" w:type="dxa"/>
            <w:gridSpan w:val="2"/>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Level Rating:  (Melnyk, 2019)</w:t>
            </w:r>
          </w:p>
        </w:tc>
        <w:tc>
          <w:tcPr>
            <w:tcW w:w="6191" w:type="dxa"/>
            <w:gridSpan w:val="3"/>
            <w:tcBorders>
              <w:bottom w:val="single" w:sz="18" w:space="0" w:color="000000" w:themeColor="text1"/>
            </w:tcBorders>
            <w:shd w:val="clear" w:color="auto" w:fill="FFFFFF" w:themeFill="background1"/>
          </w:tcPr>
          <w:p w:rsidR="00066E04" w:rsidRPr="0076294A" w:rsidRDefault="00066E04" w:rsidP="00B90204">
            <w:pPr>
              <w:spacing w:before="100" w:beforeAutospacing="1" w:after="100" w:afterAutospacing="1"/>
              <w:rPr>
                <w:bCs/>
                <w:sz w:val="20"/>
                <w:szCs w:val="20"/>
              </w:rPr>
            </w:pPr>
            <w:r w:rsidRPr="0076294A">
              <w:rPr>
                <w:bCs/>
                <w:sz w:val="20"/>
                <w:szCs w:val="20"/>
              </w:rPr>
              <w:t>Quality Rating: (JHNEBP) C</w:t>
            </w:r>
          </w:p>
        </w:tc>
      </w:tr>
    </w:tbl>
    <w:p w:rsidR="00066E04" w:rsidRPr="0076294A" w:rsidRDefault="00066E04" w:rsidP="00B90204">
      <w:pPr>
        <w:spacing w:before="100" w:beforeAutospacing="1" w:after="100" w:afterAutospacing="1"/>
        <w:rPr>
          <w:sz w:val="20"/>
          <w:szCs w:val="20"/>
        </w:rPr>
      </w:pPr>
    </w:p>
    <w:p w:rsidR="00581340" w:rsidRPr="0076294A" w:rsidRDefault="00581340" w:rsidP="00B90204">
      <w:pPr>
        <w:spacing w:before="100" w:beforeAutospacing="1" w:after="100" w:afterAutospacing="1" w:line="480" w:lineRule="auto"/>
        <w:rPr>
          <w:rFonts w:ascii="Times New Roman" w:hAnsi="Times New Roman" w:cs="Times New Roman"/>
          <w:sz w:val="24"/>
          <w:szCs w:val="24"/>
        </w:rPr>
      </w:pPr>
    </w:p>
    <w:p w:rsidR="00214331" w:rsidRPr="0076294A" w:rsidRDefault="00214331" w:rsidP="00B90204">
      <w:pPr>
        <w:spacing w:before="100" w:beforeAutospacing="1" w:after="100" w:afterAutospacing="1" w:line="480" w:lineRule="auto"/>
        <w:ind w:firstLine="720"/>
        <w:rPr>
          <w:rFonts w:ascii="Times New Roman" w:hAnsi="Times New Roman" w:cs="Times New Roman"/>
          <w:b/>
          <w:sz w:val="24"/>
          <w:szCs w:val="24"/>
        </w:rPr>
      </w:pPr>
    </w:p>
    <w:p w:rsidR="00250046" w:rsidRPr="0076294A" w:rsidRDefault="005F16C0" w:rsidP="00B90204">
      <w:pPr>
        <w:spacing w:before="100" w:beforeAutospacing="1" w:after="100" w:afterAutospacing="1" w:line="480" w:lineRule="auto"/>
        <w:ind w:firstLine="720"/>
        <w:rPr>
          <w:rFonts w:ascii="Times New Roman" w:hAnsi="Times New Roman" w:cs="Times New Roman"/>
          <w:sz w:val="24"/>
          <w:szCs w:val="24"/>
        </w:rPr>
      </w:pPr>
      <w:r w:rsidRPr="0076294A">
        <w:rPr>
          <w:rFonts w:ascii="Times New Roman" w:hAnsi="Times New Roman" w:cs="Times New Roman"/>
          <w:sz w:val="24"/>
          <w:szCs w:val="24"/>
        </w:rPr>
        <w:t xml:space="preserve">   </w:t>
      </w:r>
      <w:r w:rsidR="00C05C8F" w:rsidRPr="0076294A">
        <w:rPr>
          <w:rFonts w:ascii="Times New Roman" w:hAnsi="Times New Roman" w:cs="Times New Roman"/>
          <w:sz w:val="24"/>
          <w:szCs w:val="24"/>
        </w:rPr>
        <w:t xml:space="preserve"> </w:t>
      </w:r>
      <w:r w:rsidR="006315FB" w:rsidRPr="0076294A">
        <w:rPr>
          <w:rFonts w:ascii="Times New Roman" w:hAnsi="Times New Roman" w:cs="Times New Roman"/>
          <w:sz w:val="24"/>
          <w:szCs w:val="24"/>
        </w:rPr>
        <w:t xml:space="preserve"> </w:t>
      </w:r>
      <w:r w:rsidR="0015552C" w:rsidRPr="0076294A">
        <w:rPr>
          <w:rFonts w:ascii="Times New Roman" w:hAnsi="Times New Roman" w:cs="Times New Roman"/>
          <w:sz w:val="24"/>
          <w:szCs w:val="24"/>
        </w:rPr>
        <w:t xml:space="preserve"> </w:t>
      </w:r>
    </w:p>
    <w:p w:rsidR="00871AED" w:rsidRPr="0076294A" w:rsidRDefault="00871AED" w:rsidP="00B90204">
      <w:pPr>
        <w:spacing w:before="100" w:beforeAutospacing="1" w:after="100" w:afterAutospacing="1" w:line="480" w:lineRule="auto"/>
        <w:ind w:firstLine="720"/>
        <w:jc w:val="center"/>
        <w:rPr>
          <w:rFonts w:ascii="Times New Roman" w:hAnsi="Times New Roman" w:cs="Times New Roman"/>
          <w:sz w:val="24"/>
          <w:szCs w:val="24"/>
        </w:rPr>
      </w:pPr>
    </w:p>
    <w:p w:rsidR="00871AED" w:rsidRPr="0076294A" w:rsidRDefault="00871AED" w:rsidP="00B90204">
      <w:pPr>
        <w:spacing w:before="100" w:beforeAutospacing="1" w:after="100" w:afterAutospacing="1" w:line="480" w:lineRule="auto"/>
        <w:ind w:firstLine="720"/>
        <w:jc w:val="center"/>
        <w:rPr>
          <w:rFonts w:ascii="Times New Roman" w:hAnsi="Times New Roman" w:cs="Times New Roman"/>
          <w:sz w:val="24"/>
          <w:szCs w:val="24"/>
        </w:rPr>
      </w:pPr>
    </w:p>
    <w:sectPr w:rsidR="00871AED" w:rsidRPr="0076294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C0" w:rsidRDefault="005F16C0" w:rsidP="00DF4077">
      <w:pPr>
        <w:spacing w:after="0" w:line="240" w:lineRule="auto"/>
      </w:pPr>
      <w:r>
        <w:separator/>
      </w:r>
    </w:p>
  </w:endnote>
  <w:endnote w:type="continuationSeparator" w:id="0">
    <w:p w:rsidR="005F16C0" w:rsidRDefault="005F16C0" w:rsidP="00DF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C0" w:rsidRDefault="005F16C0" w:rsidP="00DF4077">
      <w:pPr>
        <w:spacing w:after="0" w:line="240" w:lineRule="auto"/>
      </w:pPr>
      <w:r>
        <w:separator/>
      </w:r>
    </w:p>
  </w:footnote>
  <w:footnote w:type="continuationSeparator" w:id="0">
    <w:p w:rsidR="005F16C0" w:rsidRDefault="005F16C0" w:rsidP="00DF4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418442"/>
      <w:docPartObj>
        <w:docPartGallery w:val="Page Numbers (Top of Page)"/>
        <w:docPartUnique/>
      </w:docPartObj>
    </w:sdtPr>
    <w:sdtEndPr>
      <w:rPr>
        <w:noProof/>
      </w:rPr>
    </w:sdtEndPr>
    <w:sdtContent>
      <w:p w:rsidR="00DF4077" w:rsidRDefault="00DF4077">
        <w:pPr>
          <w:pStyle w:val="Header"/>
          <w:jc w:val="right"/>
        </w:pPr>
        <w:r>
          <w:fldChar w:fldCharType="begin"/>
        </w:r>
        <w:r>
          <w:instrText xml:space="preserve"> PAGE   \* MERGEFORMAT </w:instrText>
        </w:r>
        <w:r>
          <w:fldChar w:fldCharType="separate"/>
        </w:r>
        <w:r w:rsidR="005F16C0">
          <w:rPr>
            <w:noProof/>
          </w:rPr>
          <w:t>1</w:t>
        </w:r>
        <w:r>
          <w:rPr>
            <w:noProof/>
          </w:rPr>
          <w:fldChar w:fldCharType="end"/>
        </w:r>
      </w:p>
    </w:sdtContent>
  </w:sdt>
  <w:p w:rsidR="00DF4077" w:rsidRDefault="00DF4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02A"/>
    <w:multiLevelType w:val="hybridMultilevel"/>
    <w:tmpl w:val="8F1C9442"/>
    <w:lvl w:ilvl="0" w:tplc="4A60BB48">
      <w:start w:val="1"/>
      <w:numFmt w:val="bullet"/>
      <w:lvlText w:val=""/>
      <w:lvlJc w:val="left"/>
      <w:pPr>
        <w:ind w:left="720" w:hanging="360"/>
      </w:pPr>
      <w:rPr>
        <w:rFonts w:ascii="Symbol" w:hAnsi="Symbol" w:hint="default"/>
      </w:rPr>
    </w:lvl>
    <w:lvl w:ilvl="1" w:tplc="6E0089A2">
      <w:numFmt w:val="bullet"/>
      <w:lvlText w:val="-"/>
      <w:lvlJc w:val="left"/>
      <w:pPr>
        <w:ind w:left="1440" w:hanging="360"/>
      </w:pPr>
      <w:rPr>
        <w:rFonts w:ascii="Times New Roman" w:eastAsia="Times New Roman" w:hAnsi="Times New Roman" w:cs="Times New Roman" w:hint="default"/>
      </w:rPr>
    </w:lvl>
    <w:lvl w:ilvl="2" w:tplc="89D086F8" w:tentative="1">
      <w:start w:val="1"/>
      <w:numFmt w:val="bullet"/>
      <w:lvlText w:val=""/>
      <w:lvlJc w:val="left"/>
      <w:pPr>
        <w:ind w:left="2160" w:hanging="360"/>
      </w:pPr>
      <w:rPr>
        <w:rFonts w:ascii="Wingdings" w:hAnsi="Wingdings" w:hint="default"/>
      </w:rPr>
    </w:lvl>
    <w:lvl w:ilvl="3" w:tplc="47142F78" w:tentative="1">
      <w:start w:val="1"/>
      <w:numFmt w:val="bullet"/>
      <w:lvlText w:val=""/>
      <w:lvlJc w:val="left"/>
      <w:pPr>
        <w:ind w:left="2880" w:hanging="360"/>
      </w:pPr>
      <w:rPr>
        <w:rFonts w:ascii="Symbol" w:hAnsi="Symbol" w:hint="default"/>
      </w:rPr>
    </w:lvl>
    <w:lvl w:ilvl="4" w:tplc="5E1EF8EE" w:tentative="1">
      <w:start w:val="1"/>
      <w:numFmt w:val="bullet"/>
      <w:lvlText w:val="o"/>
      <w:lvlJc w:val="left"/>
      <w:pPr>
        <w:ind w:left="3600" w:hanging="360"/>
      </w:pPr>
      <w:rPr>
        <w:rFonts w:ascii="Courier New" w:hAnsi="Courier New" w:cs="Courier New" w:hint="default"/>
      </w:rPr>
    </w:lvl>
    <w:lvl w:ilvl="5" w:tplc="492C83E8" w:tentative="1">
      <w:start w:val="1"/>
      <w:numFmt w:val="bullet"/>
      <w:lvlText w:val=""/>
      <w:lvlJc w:val="left"/>
      <w:pPr>
        <w:ind w:left="4320" w:hanging="360"/>
      </w:pPr>
      <w:rPr>
        <w:rFonts w:ascii="Wingdings" w:hAnsi="Wingdings" w:hint="default"/>
      </w:rPr>
    </w:lvl>
    <w:lvl w:ilvl="6" w:tplc="D9E481A4" w:tentative="1">
      <w:start w:val="1"/>
      <w:numFmt w:val="bullet"/>
      <w:lvlText w:val=""/>
      <w:lvlJc w:val="left"/>
      <w:pPr>
        <w:ind w:left="5040" w:hanging="360"/>
      </w:pPr>
      <w:rPr>
        <w:rFonts w:ascii="Symbol" w:hAnsi="Symbol" w:hint="default"/>
      </w:rPr>
    </w:lvl>
    <w:lvl w:ilvl="7" w:tplc="0C1CD470" w:tentative="1">
      <w:start w:val="1"/>
      <w:numFmt w:val="bullet"/>
      <w:lvlText w:val="o"/>
      <w:lvlJc w:val="left"/>
      <w:pPr>
        <w:ind w:left="5760" w:hanging="360"/>
      </w:pPr>
      <w:rPr>
        <w:rFonts w:ascii="Courier New" w:hAnsi="Courier New" w:cs="Courier New" w:hint="default"/>
      </w:rPr>
    </w:lvl>
    <w:lvl w:ilvl="8" w:tplc="81843EFE" w:tentative="1">
      <w:start w:val="1"/>
      <w:numFmt w:val="bullet"/>
      <w:lvlText w:val=""/>
      <w:lvlJc w:val="left"/>
      <w:pPr>
        <w:ind w:left="6480" w:hanging="360"/>
      </w:pPr>
      <w:rPr>
        <w:rFonts w:ascii="Wingdings" w:hAnsi="Wingdings" w:hint="default"/>
      </w:rPr>
    </w:lvl>
  </w:abstractNum>
  <w:abstractNum w:abstractNumId="1">
    <w:nsid w:val="01B8121F"/>
    <w:multiLevelType w:val="hybridMultilevel"/>
    <w:tmpl w:val="F20AF2F2"/>
    <w:lvl w:ilvl="0" w:tplc="DD127510">
      <w:start w:val="1"/>
      <w:numFmt w:val="bullet"/>
      <w:lvlText w:val=""/>
      <w:lvlJc w:val="left"/>
      <w:pPr>
        <w:ind w:left="720" w:hanging="360"/>
      </w:pPr>
      <w:rPr>
        <w:rFonts w:ascii="Symbol" w:hAnsi="Symbol" w:hint="default"/>
      </w:rPr>
    </w:lvl>
    <w:lvl w:ilvl="1" w:tplc="6FC42E18" w:tentative="1">
      <w:start w:val="1"/>
      <w:numFmt w:val="bullet"/>
      <w:lvlText w:val="o"/>
      <w:lvlJc w:val="left"/>
      <w:pPr>
        <w:ind w:left="1440" w:hanging="360"/>
      </w:pPr>
      <w:rPr>
        <w:rFonts w:ascii="Courier New" w:hAnsi="Courier New" w:cs="Courier New" w:hint="default"/>
      </w:rPr>
    </w:lvl>
    <w:lvl w:ilvl="2" w:tplc="C6FC559A" w:tentative="1">
      <w:start w:val="1"/>
      <w:numFmt w:val="bullet"/>
      <w:lvlText w:val=""/>
      <w:lvlJc w:val="left"/>
      <w:pPr>
        <w:ind w:left="2160" w:hanging="360"/>
      </w:pPr>
      <w:rPr>
        <w:rFonts w:ascii="Wingdings" w:hAnsi="Wingdings" w:hint="default"/>
      </w:rPr>
    </w:lvl>
    <w:lvl w:ilvl="3" w:tplc="4C6C2DC0" w:tentative="1">
      <w:start w:val="1"/>
      <w:numFmt w:val="bullet"/>
      <w:lvlText w:val=""/>
      <w:lvlJc w:val="left"/>
      <w:pPr>
        <w:ind w:left="2880" w:hanging="360"/>
      </w:pPr>
      <w:rPr>
        <w:rFonts w:ascii="Symbol" w:hAnsi="Symbol" w:hint="default"/>
      </w:rPr>
    </w:lvl>
    <w:lvl w:ilvl="4" w:tplc="879C0678" w:tentative="1">
      <w:start w:val="1"/>
      <w:numFmt w:val="bullet"/>
      <w:lvlText w:val="o"/>
      <w:lvlJc w:val="left"/>
      <w:pPr>
        <w:ind w:left="3600" w:hanging="360"/>
      </w:pPr>
      <w:rPr>
        <w:rFonts w:ascii="Courier New" w:hAnsi="Courier New" w:cs="Courier New" w:hint="default"/>
      </w:rPr>
    </w:lvl>
    <w:lvl w:ilvl="5" w:tplc="9D88D984" w:tentative="1">
      <w:start w:val="1"/>
      <w:numFmt w:val="bullet"/>
      <w:lvlText w:val=""/>
      <w:lvlJc w:val="left"/>
      <w:pPr>
        <w:ind w:left="4320" w:hanging="360"/>
      </w:pPr>
      <w:rPr>
        <w:rFonts w:ascii="Wingdings" w:hAnsi="Wingdings" w:hint="default"/>
      </w:rPr>
    </w:lvl>
    <w:lvl w:ilvl="6" w:tplc="25B630C4" w:tentative="1">
      <w:start w:val="1"/>
      <w:numFmt w:val="bullet"/>
      <w:lvlText w:val=""/>
      <w:lvlJc w:val="left"/>
      <w:pPr>
        <w:ind w:left="5040" w:hanging="360"/>
      </w:pPr>
      <w:rPr>
        <w:rFonts w:ascii="Symbol" w:hAnsi="Symbol" w:hint="default"/>
      </w:rPr>
    </w:lvl>
    <w:lvl w:ilvl="7" w:tplc="26E69A76" w:tentative="1">
      <w:start w:val="1"/>
      <w:numFmt w:val="bullet"/>
      <w:lvlText w:val="o"/>
      <w:lvlJc w:val="left"/>
      <w:pPr>
        <w:ind w:left="5760" w:hanging="360"/>
      </w:pPr>
      <w:rPr>
        <w:rFonts w:ascii="Courier New" w:hAnsi="Courier New" w:cs="Courier New" w:hint="default"/>
      </w:rPr>
    </w:lvl>
    <w:lvl w:ilvl="8" w:tplc="38022DB4" w:tentative="1">
      <w:start w:val="1"/>
      <w:numFmt w:val="bullet"/>
      <w:lvlText w:val=""/>
      <w:lvlJc w:val="left"/>
      <w:pPr>
        <w:ind w:left="6480" w:hanging="360"/>
      </w:pPr>
      <w:rPr>
        <w:rFonts w:ascii="Wingdings" w:hAnsi="Wingdings" w:hint="default"/>
      </w:rPr>
    </w:lvl>
  </w:abstractNum>
  <w:abstractNum w:abstractNumId="2">
    <w:nsid w:val="06B0310F"/>
    <w:multiLevelType w:val="hybridMultilevel"/>
    <w:tmpl w:val="7AE29D62"/>
    <w:lvl w:ilvl="0" w:tplc="0A908AAC">
      <w:start w:val="1"/>
      <w:numFmt w:val="bullet"/>
      <w:lvlText w:val=""/>
      <w:lvlJc w:val="left"/>
      <w:pPr>
        <w:ind w:left="720" w:hanging="360"/>
      </w:pPr>
      <w:rPr>
        <w:rFonts w:ascii="Symbol" w:hAnsi="Symbol" w:hint="default"/>
      </w:rPr>
    </w:lvl>
    <w:lvl w:ilvl="1" w:tplc="885CCD70" w:tentative="1">
      <w:start w:val="1"/>
      <w:numFmt w:val="bullet"/>
      <w:lvlText w:val="o"/>
      <w:lvlJc w:val="left"/>
      <w:pPr>
        <w:ind w:left="1440" w:hanging="360"/>
      </w:pPr>
      <w:rPr>
        <w:rFonts w:ascii="Courier New" w:hAnsi="Courier New" w:cs="Courier New" w:hint="default"/>
      </w:rPr>
    </w:lvl>
    <w:lvl w:ilvl="2" w:tplc="C9D6D5A4" w:tentative="1">
      <w:start w:val="1"/>
      <w:numFmt w:val="bullet"/>
      <w:lvlText w:val=""/>
      <w:lvlJc w:val="left"/>
      <w:pPr>
        <w:ind w:left="2160" w:hanging="360"/>
      </w:pPr>
      <w:rPr>
        <w:rFonts w:ascii="Wingdings" w:hAnsi="Wingdings" w:hint="default"/>
      </w:rPr>
    </w:lvl>
    <w:lvl w:ilvl="3" w:tplc="6E648B22" w:tentative="1">
      <w:start w:val="1"/>
      <w:numFmt w:val="bullet"/>
      <w:lvlText w:val=""/>
      <w:lvlJc w:val="left"/>
      <w:pPr>
        <w:ind w:left="2880" w:hanging="360"/>
      </w:pPr>
      <w:rPr>
        <w:rFonts w:ascii="Symbol" w:hAnsi="Symbol" w:hint="default"/>
      </w:rPr>
    </w:lvl>
    <w:lvl w:ilvl="4" w:tplc="027EE0D2" w:tentative="1">
      <w:start w:val="1"/>
      <w:numFmt w:val="bullet"/>
      <w:lvlText w:val="o"/>
      <w:lvlJc w:val="left"/>
      <w:pPr>
        <w:ind w:left="3600" w:hanging="360"/>
      </w:pPr>
      <w:rPr>
        <w:rFonts w:ascii="Courier New" w:hAnsi="Courier New" w:cs="Courier New" w:hint="default"/>
      </w:rPr>
    </w:lvl>
    <w:lvl w:ilvl="5" w:tplc="6444E8FA" w:tentative="1">
      <w:start w:val="1"/>
      <w:numFmt w:val="bullet"/>
      <w:lvlText w:val=""/>
      <w:lvlJc w:val="left"/>
      <w:pPr>
        <w:ind w:left="4320" w:hanging="360"/>
      </w:pPr>
      <w:rPr>
        <w:rFonts w:ascii="Wingdings" w:hAnsi="Wingdings" w:hint="default"/>
      </w:rPr>
    </w:lvl>
    <w:lvl w:ilvl="6" w:tplc="8320E7DC" w:tentative="1">
      <w:start w:val="1"/>
      <w:numFmt w:val="bullet"/>
      <w:lvlText w:val=""/>
      <w:lvlJc w:val="left"/>
      <w:pPr>
        <w:ind w:left="5040" w:hanging="360"/>
      </w:pPr>
      <w:rPr>
        <w:rFonts w:ascii="Symbol" w:hAnsi="Symbol" w:hint="default"/>
      </w:rPr>
    </w:lvl>
    <w:lvl w:ilvl="7" w:tplc="708C308A" w:tentative="1">
      <w:start w:val="1"/>
      <w:numFmt w:val="bullet"/>
      <w:lvlText w:val="o"/>
      <w:lvlJc w:val="left"/>
      <w:pPr>
        <w:ind w:left="5760" w:hanging="360"/>
      </w:pPr>
      <w:rPr>
        <w:rFonts w:ascii="Courier New" w:hAnsi="Courier New" w:cs="Courier New" w:hint="default"/>
      </w:rPr>
    </w:lvl>
    <w:lvl w:ilvl="8" w:tplc="AA5C1C98" w:tentative="1">
      <w:start w:val="1"/>
      <w:numFmt w:val="bullet"/>
      <w:lvlText w:val=""/>
      <w:lvlJc w:val="left"/>
      <w:pPr>
        <w:ind w:left="6480" w:hanging="360"/>
      </w:pPr>
      <w:rPr>
        <w:rFonts w:ascii="Wingdings" w:hAnsi="Wingdings" w:hint="default"/>
      </w:rPr>
    </w:lvl>
  </w:abstractNum>
  <w:abstractNum w:abstractNumId="3">
    <w:nsid w:val="0BC663C6"/>
    <w:multiLevelType w:val="hybridMultilevel"/>
    <w:tmpl w:val="90C6633A"/>
    <w:lvl w:ilvl="0" w:tplc="744C0F68">
      <w:start w:val="1"/>
      <w:numFmt w:val="bullet"/>
      <w:lvlText w:val=""/>
      <w:lvlJc w:val="left"/>
      <w:pPr>
        <w:ind w:left="720" w:hanging="360"/>
      </w:pPr>
      <w:rPr>
        <w:rFonts w:ascii="Symbol" w:hAnsi="Symbol" w:hint="default"/>
      </w:rPr>
    </w:lvl>
    <w:lvl w:ilvl="1" w:tplc="8D961856" w:tentative="1">
      <w:start w:val="1"/>
      <w:numFmt w:val="bullet"/>
      <w:lvlText w:val="o"/>
      <w:lvlJc w:val="left"/>
      <w:pPr>
        <w:ind w:left="1440" w:hanging="360"/>
      </w:pPr>
      <w:rPr>
        <w:rFonts w:ascii="Courier New" w:hAnsi="Courier New" w:cs="Courier New" w:hint="default"/>
      </w:rPr>
    </w:lvl>
    <w:lvl w:ilvl="2" w:tplc="1ECA8720" w:tentative="1">
      <w:start w:val="1"/>
      <w:numFmt w:val="bullet"/>
      <w:lvlText w:val=""/>
      <w:lvlJc w:val="left"/>
      <w:pPr>
        <w:ind w:left="2160" w:hanging="360"/>
      </w:pPr>
      <w:rPr>
        <w:rFonts w:ascii="Wingdings" w:hAnsi="Wingdings" w:hint="default"/>
      </w:rPr>
    </w:lvl>
    <w:lvl w:ilvl="3" w:tplc="4DE4BDC4" w:tentative="1">
      <w:start w:val="1"/>
      <w:numFmt w:val="bullet"/>
      <w:lvlText w:val=""/>
      <w:lvlJc w:val="left"/>
      <w:pPr>
        <w:ind w:left="2880" w:hanging="360"/>
      </w:pPr>
      <w:rPr>
        <w:rFonts w:ascii="Symbol" w:hAnsi="Symbol" w:hint="default"/>
      </w:rPr>
    </w:lvl>
    <w:lvl w:ilvl="4" w:tplc="AEB032E2" w:tentative="1">
      <w:start w:val="1"/>
      <w:numFmt w:val="bullet"/>
      <w:lvlText w:val="o"/>
      <w:lvlJc w:val="left"/>
      <w:pPr>
        <w:ind w:left="3600" w:hanging="360"/>
      </w:pPr>
      <w:rPr>
        <w:rFonts w:ascii="Courier New" w:hAnsi="Courier New" w:cs="Courier New" w:hint="default"/>
      </w:rPr>
    </w:lvl>
    <w:lvl w:ilvl="5" w:tplc="4FFA9670" w:tentative="1">
      <w:start w:val="1"/>
      <w:numFmt w:val="bullet"/>
      <w:lvlText w:val=""/>
      <w:lvlJc w:val="left"/>
      <w:pPr>
        <w:ind w:left="4320" w:hanging="360"/>
      </w:pPr>
      <w:rPr>
        <w:rFonts w:ascii="Wingdings" w:hAnsi="Wingdings" w:hint="default"/>
      </w:rPr>
    </w:lvl>
    <w:lvl w:ilvl="6" w:tplc="BFB06192" w:tentative="1">
      <w:start w:val="1"/>
      <w:numFmt w:val="bullet"/>
      <w:lvlText w:val=""/>
      <w:lvlJc w:val="left"/>
      <w:pPr>
        <w:ind w:left="5040" w:hanging="360"/>
      </w:pPr>
      <w:rPr>
        <w:rFonts w:ascii="Symbol" w:hAnsi="Symbol" w:hint="default"/>
      </w:rPr>
    </w:lvl>
    <w:lvl w:ilvl="7" w:tplc="75C6B2BA" w:tentative="1">
      <w:start w:val="1"/>
      <w:numFmt w:val="bullet"/>
      <w:lvlText w:val="o"/>
      <w:lvlJc w:val="left"/>
      <w:pPr>
        <w:ind w:left="5760" w:hanging="360"/>
      </w:pPr>
      <w:rPr>
        <w:rFonts w:ascii="Courier New" w:hAnsi="Courier New" w:cs="Courier New" w:hint="default"/>
      </w:rPr>
    </w:lvl>
    <w:lvl w:ilvl="8" w:tplc="0F162AA6" w:tentative="1">
      <w:start w:val="1"/>
      <w:numFmt w:val="bullet"/>
      <w:lvlText w:val=""/>
      <w:lvlJc w:val="left"/>
      <w:pPr>
        <w:ind w:left="6480" w:hanging="360"/>
      </w:pPr>
      <w:rPr>
        <w:rFonts w:ascii="Wingdings" w:hAnsi="Wingdings" w:hint="default"/>
      </w:rPr>
    </w:lvl>
  </w:abstractNum>
  <w:abstractNum w:abstractNumId="4">
    <w:nsid w:val="0F9212A7"/>
    <w:multiLevelType w:val="hybridMultilevel"/>
    <w:tmpl w:val="A226F932"/>
    <w:lvl w:ilvl="0" w:tplc="77C66AE0">
      <w:start w:val="1"/>
      <w:numFmt w:val="bullet"/>
      <w:lvlText w:val=""/>
      <w:lvlJc w:val="left"/>
      <w:pPr>
        <w:ind w:left="720" w:hanging="360"/>
      </w:pPr>
      <w:rPr>
        <w:rFonts w:ascii="Symbol" w:hAnsi="Symbol" w:hint="default"/>
      </w:rPr>
    </w:lvl>
    <w:lvl w:ilvl="1" w:tplc="AA96EE2C" w:tentative="1">
      <w:start w:val="1"/>
      <w:numFmt w:val="bullet"/>
      <w:lvlText w:val="o"/>
      <w:lvlJc w:val="left"/>
      <w:pPr>
        <w:ind w:left="1440" w:hanging="360"/>
      </w:pPr>
      <w:rPr>
        <w:rFonts w:ascii="Courier New" w:hAnsi="Courier New" w:cs="Courier New" w:hint="default"/>
      </w:rPr>
    </w:lvl>
    <w:lvl w:ilvl="2" w:tplc="AA9486C6" w:tentative="1">
      <w:start w:val="1"/>
      <w:numFmt w:val="bullet"/>
      <w:lvlText w:val=""/>
      <w:lvlJc w:val="left"/>
      <w:pPr>
        <w:ind w:left="2160" w:hanging="360"/>
      </w:pPr>
      <w:rPr>
        <w:rFonts w:ascii="Wingdings" w:hAnsi="Wingdings" w:hint="default"/>
      </w:rPr>
    </w:lvl>
    <w:lvl w:ilvl="3" w:tplc="0136C354" w:tentative="1">
      <w:start w:val="1"/>
      <w:numFmt w:val="bullet"/>
      <w:lvlText w:val=""/>
      <w:lvlJc w:val="left"/>
      <w:pPr>
        <w:ind w:left="2880" w:hanging="360"/>
      </w:pPr>
      <w:rPr>
        <w:rFonts w:ascii="Symbol" w:hAnsi="Symbol" w:hint="default"/>
      </w:rPr>
    </w:lvl>
    <w:lvl w:ilvl="4" w:tplc="25442934" w:tentative="1">
      <w:start w:val="1"/>
      <w:numFmt w:val="bullet"/>
      <w:lvlText w:val="o"/>
      <w:lvlJc w:val="left"/>
      <w:pPr>
        <w:ind w:left="3600" w:hanging="360"/>
      </w:pPr>
      <w:rPr>
        <w:rFonts w:ascii="Courier New" w:hAnsi="Courier New" w:cs="Courier New" w:hint="default"/>
      </w:rPr>
    </w:lvl>
    <w:lvl w:ilvl="5" w:tplc="24124538" w:tentative="1">
      <w:start w:val="1"/>
      <w:numFmt w:val="bullet"/>
      <w:lvlText w:val=""/>
      <w:lvlJc w:val="left"/>
      <w:pPr>
        <w:ind w:left="4320" w:hanging="360"/>
      </w:pPr>
      <w:rPr>
        <w:rFonts w:ascii="Wingdings" w:hAnsi="Wingdings" w:hint="default"/>
      </w:rPr>
    </w:lvl>
    <w:lvl w:ilvl="6" w:tplc="092410CA" w:tentative="1">
      <w:start w:val="1"/>
      <w:numFmt w:val="bullet"/>
      <w:lvlText w:val=""/>
      <w:lvlJc w:val="left"/>
      <w:pPr>
        <w:ind w:left="5040" w:hanging="360"/>
      </w:pPr>
      <w:rPr>
        <w:rFonts w:ascii="Symbol" w:hAnsi="Symbol" w:hint="default"/>
      </w:rPr>
    </w:lvl>
    <w:lvl w:ilvl="7" w:tplc="6ABE88B6" w:tentative="1">
      <w:start w:val="1"/>
      <w:numFmt w:val="bullet"/>
      <w:lvlText w:val="o"/>
      <w:lvlJc w:val="left"/>
      <w:pPr>
        <w:ind w:left="5760" w:hanging="360"/>
      </w:pPr>
      <w:rPr>
        <w:rFonts w:ascii="Courier New" w:hAnsi="Courier New" w:cs="Courier New" w:hint="default"/>
      </w:rPr>
    </w:lvl>
    <w:lvl w:ilvl="8" w:tplc="5252A062" w:tentative="1">
      <w:start w:val="1"/>
      <w:numFmt w:val="bullet"/>
      <w:lvlText w:val=""/>
      <w:lvlJc w:val="left"/>
      <w:pPr>
        <w:ind w:left="6480" w:hanging="360"/>
      </w:pPr>
      <w:rPr>
        <w:rFonts w:ascii="Wingdings" w:hAnsi="Wingdings" w:hint="default"/>
      </w:rPr>
    </w:lvl>
  </w:abstractNum>
  <w:abstractNum w:abstractNumId="5">
    <w:nsid w:val="137A73AD"/>
    <w:multiLevelType w:val="hybridMultilevel"/>
    <w:tmpl w:val="25048EEC"/>
    <w:lvl w:ilvl="0" w:tplc="B8F639F0">
      <w:start w:val="1"/>
      <w:numFmt w:val="bullet"/>
      <w:lvlText w:val=""/>
      <w:lvlJc w:val="left"/>
      <w:pPr>
        <w:ind w:left="720" w:hanging="360"/>
      </w:pPr>
      <w:rPr>
        <w:rFonts w:ascii="Symbol" w:hAnsi="Symbol" w:hint="default"/>
      </w:rPr>
    </w:lvl>
    <w:lvl w:ilvl="1" w:tplc="2C74D16A" w:tentative="1">
      <w:start w:val="1"/>
      <w:numFmt w:val="bullet"/>
      <w:lvlText w:val="o"/>
      <w:lvlJc w:val="left"/>
      <w:pPr>
        <w:ind w:left="1440" w:hanging="360"/>
      </w:pPr>
      <w:rPr>
        <w:rFonts w:ascii="Courier New" w:hAnsi="Courier New" w:cs="Courier New" w:hint="default"/>
      </w:rPr>
    </w:lvl>
    <w:lvl w:ilvl="2" w:tplc="8AF41476" w:tentative="1">
      <w:start w:val="1"/>
      <w:numFmt w:val="bullet"/>
      <w:lvlText w:val=""/>
      <w:lvlJc w:val="left"/>
      <w:pPr>
        <w:ind w:left="2160" w:hanging="360"/>
      </w:pPr>
      <w:rPr>
        <w:rFonts w:ascii="Wingdings" w:hAnsi="Wingdings" w:hint="default"/>
      </w:rPr>
    </w:lvl>
    <w:lvl w:ilvl="3" w:tplc="4CBE68EA" w:tentative="1">
      <w:start w:val="1"/>
      <w:numFmt w:val="bullet"/>
      <w:lvlText w:val=""/>
      <w:lvlJc w:val="left"/>
      <w:pPr>
        <w:ind w:left="2880" w:hanging="360"/>
      </w:pPr>
      <w:rPr>
        <w:rFonts w:ascii="Symbol" w:hAnsi="Symbol" w:hint="default"/>
      </w:rPr>
    </w:lvl>
    <w:lvl w:ilvl="4" w:tplc="3454DB38" w:tentative="1">
      <w:start w:val="1"/>
      <w:numFmt w:val="bullet"/>
      <w:lvlText w:val="o"/>
      <w:lvlJc w:val="left"/>
      <w:pPr>
        <w:ind w:left="3600" w:hanging="360"/>
      </w:pPr>
      <w:rPr>
        <w:rFonts w:ascii="Courier New" w:hAnsi="Courier New" w:cs="Courier New" w:hint="default"/>
      </w:rPr>
    </w:lvl>
    <w:lvl w:ilvl="5" w:tplc="A7166190" w:tentative="1">
      <w:start w:val="1"/>
      <w:numFmt w:val="bullet"/>
      <w:lvlText w:val=""/>
      <w:lvlJc w:val="left"/>
      <w:pPr>
        <w:ind w:left="4320" w:hanging="360"/>
      </w:pPr>
      <w:rPr>
        <w:rFonts w:ascii="Wingdings" w:hAnsi="Wingdings" w:hint="default"/>
      </w:rPr>
    </w:lvl>
    <w:lvl w:ilvl="6" w:tplc="6F0A553C" w:tentative="1">
      <w:start w:val="1"/>
      <w:numFmt w:val="bullet"/>
      <w:lvlText w:val=""/>
      <w:lvlJc w:val="left"/>
      <w:pPr>
        <w:ind w:left="5040" w:hanging="360"/>
      </w:pPr>
      <w:rPr>
        <w:rFonts w:ascii="Symbol" w:hAnsi="Symbol" w:hint="default"/>
      </w:rPr>
    </w:lvl>
    <w:lvl w:ilvl="7" w:tplc="34BCA27E" w:tentative="1">
      <w:start w:val="1"/>
      <w:numFmt w:val="bullet"/>
      <w:lvlText w:val="o"/>
      <w:lvlJc w:val="left"/>
      <w:pPr>
        <w:ind w:left="5760" w:hanging="360"/>
      </w:pPr>
      <w:rPr>
        <w:rFonts w:ascii="Courier New" w:hAnsi="Courier New" w:cs="Courier New" w:hint="default"/>
      </w:rPr>
    </w:lvl>
    <w:lvl w:ilvl="8" w:tplc="3D7404BE" w:tentative="1">
      <w:start w:val="1"/>
      <w:numFmt w:val="bullet"/>
      <w:lvlText w:val=""/>
      <w:lvlJc w:val="left"/>
      <w:pPr>
        <w:ind w:left="6480" w:hanging="360"/>
      </w:pPr>
      <w:rPr>
        <w:rFonts w:ascii="Wingdings" w:hAnsi="Wingdings" w:hint="default"/>
      </w:rPr>
    </w:lvl>
  </w:abstractNum>
  <w:abstractNum w:abstractNumId="6">
    <w:nsid w:val="1ABB3649"/>
    <w:multiLevelType w:val="hybridMultilevel"/>
    <w:tmpl w:val="AD44979E"/>
    <w:lvl w:ilvl="0" w:tplc="180AAC52">
      <w:start w:val="1"/>
      <w:numFmt w:val="bullet"/>
      <w:lvlText w:val=""/>
      <w:lvlJc w:val="left"/>
      <w:pPr>
        <w:ind w:left="720" w:hanging="360"/>
      </w:pPr>
      <w:rPr>
        <w:rFonts w:ascii="Symbol" w:hAnsi="Symbol" w:hint="default"/>
      </w:rPr>
    </w:lvl>
    <w:lvl w:ilvl="1" w:tplc="74987D4E" w:tentative="1">
      <w:start w:val="1"/>
      <w:numFmt w:val="bullet"/>
      <w:lvlText w:val="o"/>
      <w:lvlJc w:val="left"/>
      <w:pPr>
        <w:ind w:left="1440" w:hanging="360"/>
      </w:pPr>
      <w:rPr>
        <w:rFonts w:ascii="Courier New" w:hAnsi="Courier New" w:cs="Courier New" w:hint="default"/>
      </w:rPr>
    </w:lvl>
    <w:lvl w:ilvl="2" w:tplc="8C1CAE12" w:tentative="1">
      <w:start w:val="1"/>
      <w:numFmt w:val="bullet"/>
      <w:lvlText w:val=""/>
      <w:lvlJc w:val="left"/>
      <w:pPr>
        <w:ind w:left="2160" w:hanging="360"/>
      </w:pPr>
      <w:rPr>
        <w:rFonts w:ascii="Wingdings" w:hAnsi="Wingdings" w:hint="default"/>
      </w:rPr>
    </w:lvl>
    <w:lvl w:ilvl="3" w:tplc="5A58456C" w:tentative="1">
      <w:start w:val="1"/>
      <w:numFmt w:val="bullet"/>
      <w:lvlText w:val=""/>
      <w:lvlJc w:val="left"/>
      <w:pPr>
        <w:ind w:left="2880" w:hanging="360"/>
      </w:pPr>
      <w:rPr>
        <w:rFonts w:ascii="Symbol" w:hAnsi="Symbol" w:hint="default"/>
      </w:rPr>
    </w:lvl>
    <w:lvl w:ilvl="4" w:tplc="BC407098" w:tentative="1">
      <w:start w:val="1"/>
      <w:numFmt w:val="bullet"/>
      <w:lvlText w:val="o"/>
      <w:lvlJc w:val="left"/>
      <w:pPr>
        <w:ind w:left="3600" w:hanging="360"/>
      </w:pPr>
      <w:rPr>
        <w:rFonts w:ascii="Courier New" w:hAnsi="Courier New" w:cs="Courier New" w:hint="default"/>
      </w:rPr>
    </w:lvl>
    <w:lvl w:ilvl="5" w:tplc="EE00098C" w:tentative="1">
      <w:start w:val="1"/>
      <w:numFmt w:val="bullet"/>
      <w:lvlText w:val=""/>
      <w:lvlJc w:val="left"/>
      <w:pPr>
        <w:ind w:left="4320" w:hanging="360"/>
      </w:pPr>
      <w:rPr>
        <w:rFonts w:ascii="Wingdings" w:hAnsi="Wingdings" w:hint="default"/>
      </w:rPr>
    </w:lvl>
    <w:lvl w:ilvl="6" w:tplc="B8BCAC02" w:tentative="1">
      <w:start w:val="1"/>
      <w:numFmt w:val="bullet"/>
      <w:lvlText w:val=""/>
      <w:lvlJc w:val="left"/>
      <w:pPr>
        <w:ind w:left="5040" w:hanging="360"/>
      </w:pPr>
      <w:rPr>
        <w:rFonts w:ascii="Symbol" w:hAnsi="Symbol" w:hint="default"/>
      </w:rPr>
    </w:lvl>
    <w:lvl w:ilvl="7" w:tplc="6FFED44E" w:tentative="1">
      <w:start w:val="1"/>
      <w:numFmt w:val="bullet"/>
      <w:lvlText w:val="o"/>
      <w:lvlJc w:val="left"/>
      <w:pPr>
        <w:ind w:left="5760" w:hanging="360"/>
      </w:pPr>
      <w:rPr>
        <w:rFonts w:ascii="Courier New" w:hAnsi="Courier New" w:cs="Courier New" w:hint="default"/>
      </w:rPr>
    </w:lvl>
    <w:lvl w:ilvl="8" w:tplc="5D20025C" w:tentative="1">
      <w:start w:val="1"/>
      <w:numFmt w:val="bullet"/>
      <w:lvlText w:val=""/>
      <w:lvlJc w:val="left"/>
      <w:pPr>
        <w:ind w:left="6480" w:hanging="360"/>
      </w:pPr>
      <w:rPr>
        <w:rFonts w:ascii="Wingdings" w:hAnsi="Wingdings" w:hint="default"/>
      </w:rPr>
    </w:lvl>
  </w:abstractNum>
  <w:abstractNum w:abstractNumId="7">
    <w:nsid w:val="260A0CEE"/>
    <w:multiLevelType w:val="hybridMultilevel"/>
    <w:tmpl w:val="509AB3F0"/>
    <w:lvl w:ilvl="0" w:tplc="87D4430C">
      <w:start w:val="1"/>
      <w:numFmt w:val="bullet"/>
      <w:lvlText w:val=""/>
      <w:lvlJc w:val="left"/>
      <w:pPr>
        <w:ind w:left="720" w:hanging="360"/>
      </w:pPr>
      <w:rPr>
        <w:rFonts w:ascii="Symbol" w:hAnsi="Symbol" w:hint="default"/>
      </w:rPr>
    </w:lvl>
    <w:lvl w:ilvl="1" w:tplc="A15A6FB6" w:tentative="1">
      <w:start w:val="1"/>
      <w:numFmt w:val="bullet"/>
      <w:lvlText w:val="o"/>
      <w:lvlJc w:val="left"/>
      <w:pPr>
        <w:ind w:left="1440" w:hanging="360"/>
      </w:pPr>
      <w:rPr>
        <w:rFonts w:ascii="Courier New" w:hAnsi="Courier New" w:cs="Courier New" w:hint="default"/>
      </w:rPr>
    </w:lvl>
    <w:lvl w:ilvl="2" w:tplc="FAA42CEC" w:tentative="1">
      <w:start w:val="1"/>
      <w:numFmt w:val="bullet"/>
      <w:lvlText w:val=""/>
      <w:lvlJc w:val="left"/>
      <w:pPr>
        <w:ind w:left="2160" w:hanging="360"/>
      </w:pPr>
      <w:rPr>
        <w:rFonts w:ascii="Wingdings" w:hAnsi="Wingdings" w:hint="default"/>
      </w:rPr>
    </w:lvl>
    <w:lvl w:ilvl="3" w:tplc="DD965A3E" w:tentative="1">
      <w:start w:val="1"/>
      <w:numFmt w:val="bullet"/>
      <w:lvlText w:val=""/>
      <w:lvlJc w:val="left"/>
      <w:pPr>
        <w:ind w:left="2880" w:hanging="360"/>
      </w:pPr>
      <w:rPr>
        <w:rFonts w:ascii="Symbol" w:hAnsi="Symbol" w:hint="default"/>
      </w:rPr>
    </w:lvl>
    <w:lvl w:ilvl="4" w:tplc="728CE89E" w:tentative="1">
      <w:start w:val="1"/>
      <w:numFmt w:val="bullet"/>
      <w:lvlText w:val="o"/>
      <w:lvlJc w:val="left"/>
      <w:pPr>
        <w:ind w:left="3600" w:hanging="360"/>
      </w:pPr>
      <w:rPr>
        <w:rFonts w:ascii="Courier New" w:hAnsi="Courier New" w:cs="Courier New" w:hint="default"/>
      </w:rPr>
    </w:lvl>
    <w:lvl w:ilvl="5" w:tplc="B374DB8A" w:tentative="1">
      <w:start w:val="1"/>
      <w:numFmt w:val="bullet"/>
      <w:lvlText w:val=""/>
      <w:lvlJc w:val="left"/>
      <w:pPr>
        <w:ind w:left="4320" w:hanging="360"/>
      </w:pPr>
      <w:rPr>
        <w:rFonts w:ascii="Wingdings" w:hAnsi="Wingdings" w:hint="default"/>
      </w:rPr>
    </w:lvl>
    <w:lvl w:ilvl="6" w:tplc="D21058D0" w:tentative="1">
      <w:start w:val="1"/>
      <w:numFmt w:val="bullet"/>
      <w:lvlText w:val=""/>
      <w:lvlJc w:val="left"/>
      <w:pPr>
        <w:ind w:left="5040" w:hanging="360"/>
      </w:pPr>
      <w:rPr>
        <w:rFonts w:ascii="Symbol" w:hAnsi="Symbol" w:hint="default"/>
      </w:rPr>
    </w:lvl>
    <w:lvl w:ilvl="7" w:tplc="94E22A1A" w:tentative="1">
      <w:start w:val="1"/>
      <w:numFmt w:val="bullet"/>
      <w:lvlText w:val="o"/>
      <w:lvlJc w:val="left"/>
      <w:pPr>
        <w:ind w:left="5760" w:hanging="360"/>
      </w:pPr>
      <w:rPr>
        <w:rFonts w:ascii="Courier New" w:hAnsi="Courier New" w:cs="Courier New" w:hint="default"/>
      </w:rPr>
    </w:lvl>
    <w:lvl w:ilvl="8" w:tplc="787821CA" w:tentative="1">
      <w:start w:val="1"/>
      <w:numFmt w:val="bullet"/>
      <w:lvlText w:val=""/>
      <w:lvlJc w:val="left"/>
      <w:pPr>
        <w:ind w:left="6480" w:hanging="360"/>
      </w:pPr>
      <w:rPr>
        <w:rFonts w:ascii="Wingdings" w:hAnsi="Wingdings" w:hint="default"/>
      </w:rPr>
    </w:lvl>
  </w:abstractNum>
  <w:abstractNum w:abstractNumId="8">
    <w:nsid w:val="4C1053E7"/>
    <w:multiLevelType w:val="hybridMultilevel"/>
    <w:tmpl w:val="36747D08"/>
    <w:lvl w:ilvl="0" w:tplc="196E0F4A">
      <w:start w:val="1"/>
      <w:numFmt w:val="bullet"/>
      <w:lvlText w:val=""/>
      <w:lvlJc w:val="left"/>
      <w:pPr>
        <w:ind w:left="720" w:hanging="360"/>
      </w:pPr>
      <w:rPr>
        <w:rFonts w:ascii="Symbol" w:hAnsi="Symbol" w:hint="default"/>
      </w:rPr>
    </w:lvl>
    <w:lvl w:ilvl="1" w:tplc="C8004FB2" w:tentative="1">
      <w:start w:val="1"/>
      <w:numFmt w:val="bullet"/>
      <w:lvlText w:val="o"/>
      <w:lvlJc w:val="left"/>
      <w:pPr>
        <w:ind w:left="1440" w:hanging="360"/>
      </w:pPr>
      <w:rPr>
        <w:rFonts w:ascii="Courier New" w:hAnsi="Courier New" w:cs="Courier New" w:hint="default"/>
      </w:rPr>
    </w:lvl>
    <w:lvl w:ilvl="2" w:tplc="F0C422CE" w:tentative="1">
      <w:start w:val="1"/>
      <w:numFmt w:val="bullet"/>
      <w:lvlText w:val=""/>
      <w:lvlJc w:val="left"/>
      <w:pPr>
        <w:ind w:left="2160" w:hanging="360"/>
      </w:pPr>
      <w:rPr>
        <w:rFonts w:ascii="Wingdings" w:hAnsi="Wingdings" w:hint="default"/>
      </w:rPr>
    </w:lvl>
    <w:lvl w:ilvl="3" w:tplc="B16021EA" w:tentative="1">
      <w:start w:val="1"/>
      <w:numFmt w:val="bullet"/>
      <w:lvlText w:val=""/>
      <w:lvlJc w:val="left"/>
      <w:pPr>
        <w:ind w:left="2880" w:hanging="360"/>
      </w:pPr>
      <w:rPr>
        <w:rFonts w:ascii="Symbol" w:hAnsi="Symbol" w:hint="default"/>
      </w:rPr>
    </w:lvl>
    <w:lvl w:ilvl="4" w:tplc="892CFA80" w:tentative="1">
      <w:start w:val="1"/>
      <w:numFmt w:val="bullet"/>
      <w:lvlText w:val="o"/>
      <w:lvlJc w:val="left"/>
      <w:pPr>
        <w:ind w:left="3600" w:hanging="360"/>
      </w:pPr>
      <w:rPr>
        <w:rFonts w:ascii="Courier New" w:hAnsi="Courier New" w:cs="Courier New" w:hint="default"/>
      </w:rPr>
    </w:lvl>
    <w:lvl w:ilvl="5" w:tplc="BBEAA854" w:tentative="1">
      <w:start w:val="1"/>
      <w:numFmt w:val="bullet"/>
      <w:lvlText w:val=""/>
      <w:lvlJc w:val="left"/>
      <w:pPr>
        <w:ind w:left="4320" w:hanging="360"/>
      </w:pPr>
      <w:rPr>
        <w:rFonts w:ascii="Wingdings" w:hAnsi="Wingdings" w:hint="default"/>
      </w:rPr>
    </w:lvl>
    <w:lvl w:ilvl="6" w:tplc="07386C40" w:tentative="1">
      <w:start w:val="1"/>
      <w:numFmt w:val="bullet"/>
      <w:lvlText w:val=""/>
      <w:lvlJc w:val="left"/>
      <w:pPr>
        <w:ind w:left="5040" w:hanging="360"/>
      </w:pPr>
      <w:rPr>
        <w:rFonts w:ascii="Symbol" w:hAnsi="Symbol" w:hint="default"/>
      </w:rPr>
    </w:lvl>
    <w:lvl w:ilvl="7" w:tplc="4C5A816E" w:tentative="1">
      <w:start w:val="1"/>
      <w:numFmt w:val="bullet"/>
      <w:lvlText w:val="o"/>
      <w:lvlJc w:val="left"/>
      <w:pPr>
        <w:ind w:left="5760" w:hanging="360"/>
      </w:pPr>
      <w:rPr>
        <w:rFonts w:ascii="Courier New" w:hAnsi="Courier New" w:cs="Courier New" w:hint="default"/>
      </w:rPr>
    </w:lvl>
    <w:lvl w:ilvl="8" w:tplc="EC1C8B60" w:tentative="1">
      <w:start w:val="1"/>
      <w:numFmt w:val="bullet"/>
      <w:lvlText w:val=""/>
      <w:lvlJc w:val="left"/>
      <w:pPr>
        <w:ind w:left="6480" w:hanging="360"/>
      </w:pPr>
      <w:rPr>
        <w:rFonts w:ascii="Wingdings" w:hAnsi="Wingdings" w:hint="default"/>
      </w:rPr>
    </w:lvl>
  </w:abstractNum>
  <w:abstractNum w:abstractNumId="9">
    <w:nsid w:val="527219FE"/>
    <w:multiLevelType w:val="hybridMultilevel"/>
    <w:tmpl w:val="B010CDAA"/>
    <w:lvl w:ilvl="0" w:tplc="9A3C8FFE">
      <w:start w:val="1"/>
      <w:numFmt w:val="bullet"/>
      <w:lvlText w:val=""/>
      <w:lvlJc w:val="left"/>
      <w:pPr>
        <w:ind w:left="720" w:hanging="360"/>
      </w:pPr>
      <w:rPr>
        <w:rFonts w:ascii="Symbol" w:hAnsi="Symbol" w:hint="default"/>
      </w:rPr>
    </w:lvl>
    <w:lvl w:ilvl="1" w:tplc="893EB2EC" w:tentative="1">
      <w:start w:val="1"/>
      <w:numFmt w:val="bullet"/>
      <w:lvlText w:val="o"/>
      <w:lvlJc w:val="left"/>
      <w:pPr>
        <w:ind w:left="1440" w:hanging="360"/>
      </w:pPr>
      <w:rPr>
        <w:rFonts w:ascii="Courier New" w:hAnsi="Courier New" w:cs="Courier New" w:hint="default"/>
      </w:rPr>
    </w:lvl>
    <w:lvl w:ilvl="2" w:tplc="8EB09EB0" w:tentative="1">
      <w:start w:val="1"/>
      <w:numFmt w:val="bullet"/>
      <w:lvlText w:val=""/>
      <w:lvlJc w:val="left"/>
      <w:pPr>
        <w:ind w:left="2160" w:hanging="360"/>
      </w:pPr>
      <w:rPr>
        <w:rFonts w:ascii="Wingdings" w:hAnsi="Wingdings" w:hint="default"/>
      </w:rPr>
    </w:lvl>
    <w:lvl w:ilvl="3" w:tplc="58BA4130" w:tentative="1">
      <w:start w:val="1"/>
      <w:numFmt w:val="bullet"/>
      <w:lvlText w:val=""/>
      <w:lvlJc w:val="left"/>
      <w:pPr>
        <w:ind w:left="2880" w:hanging="360"/>
      </w:pPr>
      <w:rPr>
        <w:rFonts w:ascii="Symbol" w:hAnsi="Symbol" w:hint="default"/>
      </w:rPr>
    </w:lvl>
    <w:lvl w:ilvl="4" w:tplc="2A8EDFDE" w:tentative="1">
      <w:start w:val="1"/>
      <w:numFmt w:val="bullet"/>
      <w:lvlText w:val="o"/>
      <w:lvlJc w:val="left"/>
      <w:pPr>
        <w:ind w:left="3600" w:hanging="360"/>
      </w:pPr>
      <w:rPr>
        <w:rFonts w:ascii="Courier New" w:hAnsi="Courier New" w:cs="Courier New" w:hint="default"/>
      </w:rPr>
    </w:lvl>
    <w:lvl w:ilvl="5" w:tplc="D97890C4" w:tentative="1">
      <w:start w:val="1"/>
      <w:numFmt w:val="bullet"/>
      <w:lvlText w:val=""/>
      <w:lvlJc w:val="left"/>
      <w:pPr>
        <w:ind w:left="4320" w:hanging="360"/>
      </w:pPr>
      <w:rPr>
        <w:rFonts w:ascii="Wingdings" w:hAnsi="Wingdings" w:hint="default"/>
      </w:rPr>
    </w:lvl>
    <w:lvl w:ilvl="6" w:tplc="378E9EDC" w:tentative="1">
      <w:start w:val="1"/>
      <w:numFmt w:val="bullet"/>
      <w:lvlText w:val=""/>
      <w:lvlJc w:val="left"/>
      <w:pPr>
        <w:ind w:left="5040" w:hanging="360"/>
      </w:pPr>
      <w:rPr>
        <w:rFonts w:ascii="Symbol" w:hAnsi="Symbol" w:hint="default"/>
      </w:rPr>
    </w:lvl>
    <w:lvl w:ilvl="7" w:tplc="F20685A2" w:tentative="1">
      <w:start w:val="1"/>
      <w:numFmt w:val="bullet"/>
      <w:lvlText w:val="o"/>
      <w:lvlJc w:val="left"/>
      <w:pPr>
        <w:ind w:left="5760" w:hanging="360"/>
      </w:pPr>
      <w:rPr>
        <w:rFonts w:ascii="Courier New" w:hAnsi="Courier New" w:cs="Courier New" w:hint="default"/>
      </w:rPr>
    </w:lvl>
    <w:lvl w:ilvl="8" w:tplc="20385C0E" w:tentative="1">
      <w:start w:val="1"/>
      <w:numFmt w:val="bullet"/>
      <w:lvlText w:val=""/>
      <w:lvlJc w:val="left"/>
      <w:pPr>
        <w:ind w:left="6480" w:hanging="360"/>
      </w:pPr>
      <w:rPr>
        <w:rFonts w:ascii="Wingdings" w:hAnsi="Wingdings" w:hint="default"/>
      </w:rPr>
    </w:lvl>
  </w:abstractNum>
  <w:abstractNum w:abstractNumId="10">
    <w:nsid w:val="5AF66139"/>
    <w:multiLevelType w:val="hybridMultilevel"/>
    <w:tmpl w:val="F4109E20"/>
    <w:lvl w:ilvl="0" w:tplc="2CD0B682">
      <w:start w:val="1"/>
      <w:numFmt w:val="bullet"/>
      <w:lvlText w:val=""/>
      <w:lvlJc w:val="left"/>
      <w:pPr>
        <w:ind w:left="720" w:hanging="360"/>
      </w:pPr>
      <w:rPr>
        <w:rFonts w:ascii="Symbol" w:hAnsi="Symbol" w:hint="default"/>
      </w:rPr>
    </w:lvl>
    <w:lvl w:ilvl="1" w:tplc="2780C808" w:tentative="1">
      <w:start w:val="1"/>
      <w:numFmt w:val="bullet"/>
      <w:lvlText w:val="o"/>
      <w:lvlJc w:val="left"/>
      <w:pPr>
        <w:ind w:left="1440" w:hanging="360"/>
      </w:pPr>
      <w:rPr>
        <w:rFonts w:ascii="Courier New" w:hAnsi="Courier New" w:cs="Courier New" w:hint="default"/>
      </w:rPr>
    </w:lvl>
    <w:lvl w:ilvl="2" w:tplc="5E821ADC" w:tentative="1">
      <w:start w:val="1"/>
      <w:numFmt w:val="bullet"/>
      <w:lvlText w:val=""/>
      <w:lvlJc w:val="left"/>
      <w:pPr>
        <w:ind w:left="2160" w:hanging="360"/>
      </w:pPr>
      <w:rPr>
        <w:rFonts w:ascii="Wingdings" w:hAnsi="Wingdings" w:hint="default"/>
      </w:rPr>
    </w:lvl>
    <w:lvl w:ilvl="3" w:tplc="B0E8524A" w:tentative="1">
      <w:start w:val="1"/>
      <w:numFmt w:val="bullet"/>
      <w:lvlText w:val=""/>
      <w:lvlJc w:val="left"/>
      <w:pPr>
        <w:ind w:left="2880" w:hanging="360"/>
      </w:pPr>
      <w:rPr>
        <w:rFonts w:ascii="Symbol" w:hAnsi="Symbol" w:hint="default"/>
      </w:rPr>
    </w:lvl>
    <w:lvl w:ilvl="4" w:tplc="6F2A3584" w:tentative="1">
      <w:start w:val="1"/>
      <w:numFmt w:val="bullet"/>
      <w:lvlText w:val="o"/>
      <w:lvlJc w:val="left"/>
      <w:pPr>
        <w:ind w:left="3600" w:hanging="360"/>
      </w:pPr>
      <w:rPr>
        <w:rFonts w:ascii="Courier New" w:hAnsi="Courier New" w:cs="Courier New" w:hint="default"/>
      </w:rPr>
    </w:lvl>
    <w:lvl w:ilvl="5" w:tplc="6E788340" w:tentative="1">
      <w:start w:val="1"/>
      <w:numFmt w:val="bullet"/>
      <w:lvlText w:val=""/>
      <w:lvlJc w:val="left"/>
      <w:pPr>
        <w:ind w:left="4320" w:hanging="360"/>
      </w:pPr>
      <w:rPr>
        <w:rFonts w:ascii="Wingdings" w:hAnsi="Wingdings" w:hint="default"/>
      </w:rPr>
    </w:lvl>
    <w:lvl w:ilvl="6" w:tplc="9CF03B28" w:tentative="1">
      <w:start w:val="1"/>
      <w:numFmt w:val="bullet"/>
      <w:lvlText w:val=""/>
      <w:lvlJc w:val="left"/>
      <w:pPr>
        <w:ind w:left="5040" w:hanging="360"/>
      </w:pPr>
      <w:rPr>
        <w:rFonts w:ascii="Symbol" w:hAnsi="Symbol" w:hint="default"/>
      </w:rPr>
    </w:lvl>
    <w:lvl w:ilvl="7" w:tplc="F26CE2C8" w:tentative="1">
      <w:start w:val="1"/>
      <w:numFmt w:val="bullet"/>
      <w:lvlText w:val="o"/>
      <w:lvlJc w:val="left"/>
      <w:pPr>
        <w:ind w:left="5760" w:hanging="360"/>
      </w:pPr>
      <w:rPr>
        <w:rFonts w:ascii="Courier New" w:hAnsi="Courier New" w:cs="Courier New" w:hint="default"/>
      </w:rPr>
    </w:lvl>
    <w:lvl w:ilvl="8" w:tplc="B2DE691E" w:tentative="1">
      <w:start w:val="1"/>
      <w:numFmt w:val="bullet"/>
      <w:lvlText w:val=""/>
      <w:lvlJc w:val="left"/>
      <w:pPr>
        <w:ind w:left="6480" w:hanging="360"/>
      </w:pPr>
      <w:rPr>
        <w:rFonts w:ascii="Wingdings" w:hAnsi="Wingdings" w:hint="default"/>
      </w:rPr>
    </w:lvl>
  </w:abstractNum>
  <w:abstractNum w:abstractNumId="11">
    <w:nsid w:val="5FB60FD2"/>
    <w:multiLevelType w:val="hybridMultilevel"/>
    <w:tmpl w:val="52E470CC"/>
    <w:lvl w:ilvl="0" w:tplc="F1B0859C">
      <w:start w:val="1"/>
      <w:numFmt w:val="bullet"/>
      <w:lvlText w:val=""/>
      <w:lvlJc w:val="left"/>
      <w:pPr>
        <w:ind w:left="720" w:hanging="360"/>
      </w:pPr>
      <w:rPr>
        <w:rFonts w:ascii="Symbol" w:hAnsi="Symbol" w:hint="default"/>
      </w:rPr>
    </w:lvl>
    <w:lvl w:ilvl="1" w:tplc="10329CE2" w:tentative="1">
      <w:start w:val="1"/>
      <w:numFmt w:val="bullet"/>
      <w:lvlText w:val="o"/>
      <w:lvlJc w:val="left"/>
      <w:pPr>
        <w:ind w:left="1440" w:hanging="360"/>
      </w:pPr>
      <w:rPr>
        <w:rFonts w:ascii="Courier New" w:hAnsi="Courier New" w:cs="Courier New" w:hint="default"/>
      </w:rPr>
    </w:lvl>
    <w:lvl w:ilvl="2" w:tplc="FA728280" w:tentative="1">
      <w:start w:val="1"/>
      <w:numFmt w:val="bullet"/>
      <w:lvlText w:val=""/>
      <w:lvlJc w:val="left"/>
      <w:pPr>
        <w:ind w:left="2160" w:hanging="360"/>
      </w:pPr>
      <w:rPr>
        <w:rFonts w:ascii="Wingdings" w:hAnsi="Wingdings" w:hint="default"/>
      </w:rPr>
    </w:lvl>
    <w:lvl w:ilvl="3" w:tplc="DBAAAA28" w:tentative="1">
      <w:start w:val="1"/>
      <w:numFmt w:val="bullet"/>
      <w:lvlText w:val=""/>
      <w:lvlJc w:val="left"/>
      <w:pPr>
        <w:ind w:left="2880" w:hanging="360"/>
      </w:pPr>
      <w:rPr>
        <w:rFonts w:ascii="Symbol" w:hAnsi="Symbol" w:hint="default"/>
      </w:rPr>
    </w:lvl>
    <w:lvl w:ilvl="4" w:tplc="5BE007AC" w:tentative="1">
      <w:start w:val="1"/>
      <w:numFmt w:val="bullet"/>
      <w:lvlText w:val="o"/>
      <w:lvlJc w:val="left"/>
      <w:pPr>
        <w:ind w:left="3600" w:hanging="360"/>
      </w:pPr>
      <w:rPr>
        <w:rFonts w:ascii="Courier New" w:hAnsi="Courier New" w:cs="Courier New" w:hint="default"/>
      </w:rPr>
    </w:lvl>
    <w:lvl w:ilvl="5" w:tplc="A11E8428" w:tentative="1">
      <w:start w:val="1"/>
      <w:numFmt w:val="bullet"/>
      <w:lvlText w:val=""/>
      <w:lvlJc w:val="left"/>
      <w:pPr>
        <w:ind w:left="4320" w:hanging="360"/>
      </w:pPr>
      <w:rPr>
        <w:rFonts w:ascii="Wingdings" w:hAnsi="Wingdings" w:hint="default"/>
      </w:rPr>
    </w:lvl>
    <w:lvl w:ilvl="6" w:tplc="726E5670" w:tentative="1">
      <w:start w:val="1"/>
      <w:numFmt w:val="bullet"/>
      <w:lvlText w:val=""/>
      <w:lvlJc w:val="left"/>
      <w:pPr>
        <w:ind w:left="5040" w:hanging="360"/>
      </w:pPr>
      <w:rPr>
        <w:rFonts w:ascii="Symbol" w:hAnsi="Symbol" w:hint="default"/>
      </w:rPr>
    </w:lvl>
    <w:lvl w:ilvl="7" w:tplc="8D2C6A3E" w:tentative="1">
      <w:start w:val="1"/>
      <w:numFmt w:val="bullet"/>
      <w:lvlText w:val="o"/>
      <w:lvlJc w:val="left"/>
      <w:pPr>
        <w:ind w:left="5760" w:hanging="360"/>
      </w:pPr>
      <w:rPr>
        <w:rFonts w:ascii="Courier New" w:hAnsi="Courier New" w:cs="Courier New" w:hint="default"/>
      </w:rPr>
    </w:lvl>
    <w:lvl w:ilvl="8" w:tplc="45181274" w:tentative="1">
      <w:start w:val="1"/>
      <w:numFmt w:val="bullet"/>
      <w:lvlText w:val=""/>
      <w:lvlJc w:val="left"/>
      <w:pPr>
        <w:ind w:left="6480" w:hanging="360"/>
      </w:pPr>
      <w:rPr>
        <w:rFonts w:ascii="Wingdings" w:hAnsi="Wingdings" w:hint="default"/>
      </w:rPr>
    </w:lvl>
  </w:abstractNum>
  <w:abstractNum w:abstractNumId="12">
    <w:nsid w:val="62872E67"/>
    <w:multiLevelType w:val="hybridMultilevel"/>
    <w:tmpl w:val="D42C5E34"/>
    <w:lvl w:ilvl="0" w:tplc="5AB43D82">
      <w:start w:val="1"/>
      <w:numFmt w:val="bullet"/>
      <w:lvlText w:val=""/>
      <w:lvlJc w:val="left"/>
      <w:pPr>
        <w:ind w:left="720" w:hanging="360"/>
      </w:pPr>
      <w:rPr>
        <w:rFonts w:ascii="Symbol" w:hAnsi="Symbol" w:hint="default"/>
      </w:rPr>
    </w:lvl>
    <w:lvl w:ilvl="1" w:tplc="2FB82C0A" w:tentative="1">
      <w:start w:val="1"/>
      <w:numFmt w:val="bullet"/>
      <w:lvlText w:val="o"/>
      <w:lvlJc w:val="left"/>
      <w:pPr>
        <w:ind w:left="1440" w:hanging="360"/>
      </w:pPr>
      <w:rPr>
        <w:rFonts w:ascii="Courier New" w:hAnsi="Courier New" w:cs="Courier New" w:hint="default"/>
      </w:rPr>
    </w:lvl>
    <w:lvl w:ilvl="2" w:tplc="F9408D26" w:tentative="1">
      <w:start w:val="1"/>
      <w:numFmt w:val="bullet"/>
      <w:lvlText w:val=""/>
      <w:lvlJc w:val="left"/>
      <w:pPr>
        <w:ind w:left="2160" w:hanging="360"/>
      </w:pPr>
      <w:rPr>
        <w:rFonts w:ascii="Wingdings" w:hAnsi="Wingdings" w:hint="default"/>
      </w:rPr>
    </w:lvl>
    <w:lvl w:ilvl="3" w:tplc="7A9878E0" w:tentative="1">
      <w:start w:val="1"/>
      <w:numFmt w:val="bullet"/>
      <w:lvlText w:val=""/>
      <w:lvlJc w:val="left"/>
      <w:pPr>
        <w:ind w:left="2880" w:hanging="360"/>
      </w:pPr>
      <w:rPr>
        <w:rFonts w:ascii="Symbol" w:hAnsi="Symbol" w:hint="default"/>
      </w:rPr>
    </w:lvl>
    <w:lvl w:ilvl="4" w:tplc="9926BFC0" w:tentative="1">
      <w:start w:val="1"/>
      <w:numFmt w:val="bullet"/>
      <w:lvlText w:val="o"/>
      <w:lvlJc w:val="left"/>
      <w:pPr>
        <w:ind w:left="3600" w:hanging="360"/>
      </w:pPr>
      <w:rPr>
        <w:rFonts w:ascii="Courier New" w:hAnsi="Courier New" w:cs="Courier New" w:hint="default"/>
      </w:rPr>
    </w:lvl>
    <w:lvl w:ilvl="5" w:tplc="B04CD978" w:tentative="1">
      <w:start w:val="1"/>
      <w:numFmt w:val="bullet"/>
      <w:lvlText w:val=""/>
      <w:lvlJc w:val="left"/>
      <w:pPr>
        <w:ind w:left="4320" w:hanging="360"/>
      </w:pPr>
      <w:rPr>
        <w:rFonts w:ascii="Wingdings" w:hAnsi="Wingdings" w:hint="default"/>
      </w:rPr>
    </w:lvl>
    <w:lvl w:ilvl="6" w:tplc="6BC289A2" w:tentative="1">
      <w:start w:val="1"/>
      <w:numFmt w:val="bullet"/>
      <w:lvlText w:val=""/>
      <w:lvlJc w:val="left"/>
      <w:pPr>
        <w:ind w:left="5040" w:hanging="360"/>
      </w:pPr>
      <w:rPr>
        <w:rFonts w:ascii="Symbol" w:hAnsi="Symbol" w:hint="default"/>
      </w:rPr>
    </w:lvl>
    <w:lvl w:ilvl="7" w:tplc="76447BF2" w:tentative="1">
      <w:start w:val="1"/>
      <w:numFmt w:val="bullet"/>
      <w:lvlText w:val="o"/>
      <w:lvlJc w:val="left"/>
      <w:pPr>
        <w:ind w:left="5760" w:hanging="360"/>
      </w:pPr>
      <w:rPr>
        <w:rFonts w:ascii="Courier New" w:hAnsi="Courier New" w:cs="Courier New" w:hint="default"/>
      </w:rPr>
    </w:lvl>
    <w:lvl w:ilvl="8" w:tplc="74683078" w:tentative="1">
      <w:start w:val="1"/>
      <w:numFmt w:val="bullet"/>
      <w:lvlText w:val=""/>
      <w:lvlJc w:val="left"/>
      <w:pPr>
        <w:ind w:left="6480" w:hanging="360"/>
      </w:pPr>
      <w:rPr>
        <w:rFonts w:ascii="Wingdings" w:hAnsi="Wingdings" w:hint="default"/>
      </w:rPr>
    </w:lvl>
  </w:abstractNum>
  <w:abstractNum w:abstractNumId="13">
    <w:nsid w:val="68C22384"/>
    <w:multiLevelType w:val="hybridMultilevel"/>
    <w:tmpl w:val="A9E68A34"/>
    <w:lvl w:ilvl="0" w:tplc="366A06B0">
      <w:start w:val="1"/>
      <w:numFmt w:val="bullet"/>
      <w:lvlText w:val=""/>
      <w:lvlJc w:val="left"/>
      <w:pPr>
        <w:ind w:left="720" w:hanging="360"/>
      </w:pPr>
      <w:rPr>
        <w:rFonts w:ascii="Symbol" w:hAnsi="Symbol" w:hint="default"/>
      </w:rPr>
    </w:lvl>
    <w:lvl w:ilvl="1" w:tplc="CD606482" w:tentative="1">
      <w:start w:val="1"/>
      <w:numFmt w:val="bullet"/>
      <w:lvlText w:val="o"/>
      <w:lvlJc w:val="left"/>
      <w:pPr>
        <w:ind w:left="1440" w:hanging="360"/>
      </w:pPr>
      <w:rPr>
        <w:rFonts w:ascii="Courier New" w:hAnsi="Courier New" w:cs="Courier New" w:hint="default"/>
      </w:rPr>
    </w:lvl>
    <w:lvl w:ilvl="2" w:tplc="273A2A02" w:tentative="1">
      <w:start w:val="1"/>
      <w:numFmt w:val="bullet"/>
      <w:lvlText w:val=""/>
      <w:lvlJc w:val="left"/>
      <w:pPr>
        <w:ind w:left="2160" w:hanging="360"/>
      </w:pPr>
      <w:rPr>
        <w:rFonts w:ascii="Wingdings" w:hAnsi="Wingdings" w:hint="default"/>
      </w:rPr>
    </w:lvl>
    <w:lvl w:ilvl="3" w:tplc="103C2C8A" w:tentative="1">
      <w:start w:val="1"/>
      <w:numFmt w:val="bullet"/>
      <w:lvlText w:val=""/>
      <w:lvlJc w:val="left"/>
      <w:pPr>
        <w:ind w:left="2880" w:hanging="360"/>
      </w:pPr>
      <w:rPr>
        <w:rFonts w:ascii="Symbol" w:hAnsi="Symbol" w:hint="default"/>
      </w:rPr>
    </w:lvl>
    <w:lvl w:ilvl="4" w:tplc="37D41404" w:tentative="1">
      <w:start w:val="1"/>
      <w:numFmt w:val="bullet"/>
      <w:lvlText w:val="o"/>
      <w:lvlJc w:val="left"/>
      <w:pPr>
        <w:ind w:left="3600" w:hanging="360"/>
      </w:pPr>
      <w:rPr>
        <w:rFonts w:ascii="Courier New" w:hAnsi="Courier New" w:cs="Courier New" w:hint="default"/>
      </w:rPr>
    </w:lvl>
    <w:lvl w:ilvl="5" w:tplc="401CC33C" w:tentative="1">
      <w:start w:val="1"/>
      <w:numFmt w:val="bullet"/>
      <w:lvlText w:val=""/>
      <w:lvlJc w:val="left"/>
      <w:pPr>
        <w:ind w:left="4320" w:hanging="360"/>
      </w:pPr>
      <w:rPr>
        <w:rFonts w:ascii="Wingdings" w:hAnsi="Wingdings" w:hint="default"/>
      </w:rPr>
    </w:lvl>
    <w:lvl w:ilvl="6" w:tplc="50540436" w:tentative="1">
      <w:start w:val="1"/>
      <w:numFmt w:val="bullet"/>
      <w:lvlText w:val=""/>
      <w:lvlJc w:val="left"/>
      <w:pPr>
        <w:ind w:left="5040" w:hanging="360"/>
      </w:pPr>
      <w:rPr>
        <w:rFonts w:ascii="Symbol" w:hAnsi="Symbol" w:hint="default"/>
      </w:rPr>
    </w:lvl>
    <w:lvl w:ilvl="7" w:tplc="FF38B14A" w:tentative="1">
      <w:start w:val="1"/>
      <w:numFmt w:val="bullet"/>
      <w:lvlText w:val="o"/>
      <w:lvlJc w:val="left"/>
      <w:pPr>
        <w:ind w:left="5760" w:hanging="360"/>
      </w:pPr>
      <w:rPr>
        <w:rFonts w:ascii="Courier New" w:hAnsi="Courier New" w:cs="Courier New" w:hint="default"/>
      </w:rPr>
    </w:lvl>
    <w:lvl w:ilvl="8" w:tplc="D158DB2A" w:tentative="1">
      <w:start w:val="1"/>
      <w:numFmt w:val="bullet"/>
      <w:lvlText w:val=""/>
      <w:lvlJc w:val="left"/>
      <w:pPr>
        <w:ind w:left="6480" w:hanging="360"/>
      </w:pPr>
      <w:rPr>
        <w:rFonts w:ascii="Wingdings" w:hAnsi="Wingdings" w:hint="default"/>
      </w:rPr>
    </w:lvl>
  </w:abstractNum>
  <w:abstractNum w:abstractNumId="14">
    <w:nsid w:val="69E253E9"/>
    <w:multiLevelType w:val="hybridMultilevel"/>
    <w:tmpl w:val="922C0CDC"/>
    <w:lvl w:ilvl="0" w:tplc="D3C834A0">
      <w:start w:val="1"/>
      <w:numFmt w:val="bullet"/>
      <w:lvlText w:val=""/>
      <w:lvlJc w:val="left"/>
      <w:pPr>
        <w:ind w:left="720" w:hanging="360"/>
      </w:pPr>
      <w:rPr>
        <w:rFonts w:ascii="Symbol" w:hAnsi="Symbol" w:hint="default"/>
      </w:rPr>
    </w:lvl>
    <w:lvl w:ilvl="1" w:tplc="574082BC" w:tentative="1">
      <w:start w:val="1"/>
      <w:numFmt w:val="bullet"/>
      <w:lvlText w:val="o"/>
      <w:lvlJc w:val="left"/>
      <w:pPr>
        <w:ind w:left="1440" w:hanging="360"/>
      </w:pPr>
      <w:rPr>
        <w:rFonts w:ascii="Courier New" w:hAnsi="Courier New" w:cs="Courier New" w:hint="default"/>
      </w:rPr>
    </w:lvl>
    <w:lvl w:ilvl="2" w:tplc="027808E4" w:tentative="1">
      <w:start w:val="1"/>
      <w:numFmt w:val="bullet"/>
      <w:lvlText w:val=""/>
      <w:lvlJc w:val="left"/>
      <w:pPr>
        <w:ind w:left="2160" w:hanging="360"/>
      </w:pPr>
      <w:rPr>
        <w:rFonts w:ascii="Wingdings" w:hAnsi="Wingdings" w:hint="default"/>
      </w:rPr>
    </w:lvl>
    <w:lvl w:ilvl="3" w:tplc="58727AB2" w:tentative="1">
      <w:start w:val="1"/>
      <w:numFmt w:val="bullet"/>
      <w:lvlText w:val=""/>
      <w:lvlJc w:val="left"/>
      <w:pPr>
        <w:ind w:left="2880" w:hanging="360"/>
      </w:pPr>
      <w:rPr>
        <w:rFonts w:ascii="Symbol" w:hAnsi="Symbol" w:hint="default"/>
      </w:rPr>
    </w:lvl>
    <w:lvl w:ilvl="4" w:tplc="6B982D6E" w:tentative="1">
      <w:start w:val="1"/>
      <w:numFmt w:val="bullet"/>
      <w:lvlText w:val="o"/>
      <w:lvlJc w:val="left"/>
      <w:pPr>
        <w:ind w:left="3600" w:hanging="360"/>
      </w:pPr>
      <w:rPr>
        <w:rFonts w:ascii="Courier New" w:hAnsi="Courier New" w:cs="Courier New" w:hint="default"/>
      </w:rPr>
    </w:lvl>
    <w:lvl w:ilvl="5" w:tplc="2CDA1290" w:tentative="1">
      <w:start w:val="1"/>
      <w:numFmt w:val="bullet"/>
      <w:lvlText w:val=""/>
      <w:lvlJc w:val="left"/>
      <w:pPr>
        <w:ind w:left="4320" w:hanging="360"/>
      </w:pPr>
      <w:rPr>
        <w:rFonts w:ascii="Wingdings" w:hAnsi="Wingdings" w:hint="default"/>
      </w:rPr>
    </w:lvl>
    <w:lvl w:ilvl="6" w:tplc="8CC874E8" w:tentative="1">
      <w:start w:val="1"/>
      <w:numFmt w:val="bullet"/>
      <w:lvlText w:val=""/>
      <w:lvlJc w:val="left"/>
      <w:pPr>
        <w:ind w:left="5040" w:hanging="360"/>
      </w:pPr>
      <w:rPr>
        <w:rFonts w:ascii="Symbol" w:hAnsi="Symbol" w:hint="default"/>
      </w:rPr>
    </w:lvl>
    <w:lvl w:ilvl="7" w:tplc="780AA3DA" w:tentative="1">
      <w:start w:val="1"/>
      <w:numFmt w:val="bullet"/>
      <w:lvlText w:val="o"/>
      <w:lvlJc w:val="left"/>
      <w:pPr>
        <w:ind w:left="5760" w:hanging="360"/>
      </w:pPr>
      <w:rPr>
        <w:rFonts w:ascii="Courier New" w:hAnsi="Courier New" w:cs="Courier New" w:hint="default"/>
      </w:rPr>
    </w:lvl>
    <w:lvl w:ilvl="8" w:tplc="5D98025C" w:tentative="1">
      <w:start w:val="1"/>
      <w:numFmt w:val="bullet"/>
      <w:lvlText w:val=""/>
      <w:lvlJc w:val="left"/>
      <w:pPr>
        <w:ind w:left="6480" w:hanging="360"/>
      </w:pPr>
      <w:rPr>
        <w:rFonts w:ascii="Wingdings" w:hAnsi="Wingdings" w:hint="default"/>
      </w:rPr>
    </w:lvl>
  </w:abstractNum>
  <w:abstractNum w:abstractNumId="15">
    <w:nsid w:val="735A0415"/>
    <w:multiLevelType w:val="hybridMultilevel"/>
    <w:tmpl w:val="E07A53C2"/>
    <w:lvl w:ilvl="0" w:tplc="3ADC7B72">
      <w:start w:val="1"/>
      <w:numFmt w:val="bullet"/>
      <w:lvlText w:val=""/>
      <w:lvlJc w:val="left"/>
      <w:pPr>
        <w:ind w:left="720" w:hanging="360"/>
      </w:pPr>
      <w:rPr>
        <w:rFonts w:ascii="Symbol" w:hAnsi="Symbol" w:hint="default"/>
      </w:rPr>
    </w:lvl>
    <w:lvl w:ilvl="1" w:tplc="21C61D1E" w:tentative="1">
      <w:start w:val="1"/>
      <w:numFmt w:val="bullet"/>
      <w:lvlText w:val="o"/>
      <w:lvlJc w:val="left"/>
      <w:pPr>
        <w:ind w:left="1440" w:hanging="360"/>
      </w:pPr>
      <w:rPr>
        <w:rFonts w:ascii="Courier New" w:hAnsi="Courier New" w:cs="Courier New" w:hint="default"/>
      </w:rPr>
    </w:lvl>
    <w:lvl w:ilvl="2" w:tplc="74D45092" w:tentative="1">
      <w:start w:val="1"/>
      <w:numFmt w:val="bullet"/>
      <w:lvlText w:val=""/>
      <w:lvlJc w:val="left"/>
      <w:pPr>
        <w:ind w:left="2160" w:hanging="360"/>
      </w:pPr>
      <w:rPr>
        <w:rFonts w:ascii="Wingdings" w:hAnsi="Wingdings" w:hint="default"/>
      </w:rPr>
    </w:lvl>
    <w:lvl w:ilvl="3" w:tplc="6798BDAA" w:tentative="1">
      <w:start w:val="1"/>
      <w:numFmt w:val="bullet"/>
      <w:lvlText w:val=""/>
      <w:lvlJc w:val="left"/>
      <w:pPr>
        <w:ind w:left="2880" w:hanging="360"/>
      </w:pPr>
      <w:rPr>
        <w:rFonts w:ascii="Symbol" w:hAnsi="Symbol" w:hint="default"/>
      </w:rPr>
    </w:lvl>
    <w:lvl w:ilvl="4" w:tplc="C0ECDA02" w:tentative="1">
      <w:start w:val="1"/>
      <w:numFmt w:val="bullet"/>
      <w:lvlText w:val="o"/>
      <w:lvlJc w:val="left"/>
      <w:pPr>
        <w:ind w:left="3600" w:hanging="360"/>
      </w:pPr>
      <w:rPr>
        <w:rFonts w:ascii="Courier New" w:hAnsi="Courier New" w:cs="Courier New" w:hint="default"/>
      </w:rPr>
    </w:lvl>
    <w:lvl w:ilvl="5" w:tplc="11CE573E" w:tentative="1">
      <w:start w:val="1"/>
      <w:numFmt w:val="bullet"/>
      <w:lvlText w:val=""/>
      <w:lvlJc w:val="left"/>
      <w:pPr>
        <w:ind w:left="4320" w:hanging="360"/>
      </w:pPr>
      <w:rPr>
        <w:rFonts w:ascii="Wingdings" w:hAnsi="Wingdings" w:hint="default"/>
      </w:rPr>
    </w:lvl>
    <w:lvl w:ilvl="6" w:tplc="507898C0" w:tentative="1">
      <w:start w:val="1"/>
      <w:numFmt w:val="bullet"/>
      <w:lvlText w:val=""/>
      <w:lvlJc w:val="left"/>
      <w:pPr>
        <w:ind w:left="5040" w:hanging="360"/>
      </w:pPr>
      <w:rPr>
        <w:rFonts w:ascii="Symbol" w:hAnsi="Symbol" w:hint="default"/>
      </w:rPr>
    </w:lvl>
    <w:lvl w:ilvl="7" w:tplc="8BDAB604" w:tentative="1">
      <w:start w:val="1"/>
      <w:numFmt w:val="bullet"/>
      <w:lvlText w:val="o"/>
      <w:lvlJc w:val="left"/>
      <w:pPr>
        <w:ind w:left="5760" w:hanging="360"/>
      </w:pPr>
      <w:rPr>
        <w:rFonts w:ascii="Courier New" w:hAnsi="Courier New" w:cs="Courier New" w:hint="default"/>
      </w:rPr>
    </w:lvl>
    <w:lvl w:ilvl="8" w:tplc="364E9FB8" w:tentative="1">
      <w:start w:val="1"/>
      <w:numFmt w:val="bullet"/>
      <w:lvlText w:val=""/>
      <w:lvlJc w:val="left"/>
      <w:pPr>
        <w:ind w:left="6480" w:hanging="360"/>
      </w:pPr>
      <w:rPr>
        <w:rFonts w:ascii="Wingdings" w:hAnsi="Wingdings" w:hint="default"/>
      </w:rPr>
    </w:lvl>
  </w:abstractNum>
  <w:abstractNum w:abstractNumId="16">
    <w:nsid w:val="79743C58"/>
    <w:multiLevelType w:val="hybridMultilevel"/>
    <w:tmpl w:val="CAFE0F76"/>
    <w:lvl w:ilvl="0" w:tplc="8C588B2A">
      <w:start w:val="1"/>
      <w:numFmt w:val="bullet"/>
      <w:lvlText w:val=""/>
      <w:lvlJc w:val="left"/>
      <w:pPr>
        <w:ind w:left="720" w:hanging="360"/>
      </w:pPr>
      <w:rPr>
        <w:rFonts w:ascii="Symbol" w:hAnsi="Symbol" w:hint="default"/>
      </w:rPr>
    </w:lvl>
    <w:lvl w:ilvl="1" w:tplc="3DBA60D2" w:tentative="1">
      <w:start w:val="1"/>
      <w:numFmt w:val="bullet"/>
      <w:lvlText w:val="o"/>
      <w:lvlJc w:val="left"/>
      <w:pPr>
        <w:ind w:left="1440" w:hanging="360"/>
      </w:pPr>
      <w:rPr>
        <w:rFonts w:ascii="Courier New" w:hAnsi="Courier New" w:cs="Courier New" w:hint="default"/>
      </w:rPr>
    </w:lvl>
    <w:lvl w:ilvl="2" w:tplc="D38AE022" w:tentative="1">
      <w:start w:val="1"/>
      <w:numFmt w:val="bullet"/>
      <w:lvlText w:val=""/>
      <w:lvlJc w:val="left"/>
      <w:pPr>
        <w:ind w:left="2160" w:hanging="360"/>
      </w:pPr>
      <w:rPr>
        <w:rFonts w:ascii="Wingdings" w:hAnsi="Wingdings" w:hint="default"/>
      </w:rPr>
    </w:lvl>
    <w:lvl w:ilvl="3" w:tplc="1B447AC4" w:tentative="1">
      <w:start w:val="1"/>
      <w:numFmt w:val="bullet"/>
      <w:lvlText w:val=""/>
      <w:lvlJc w:val="left"/>
      <w:pPr>
        <w:ind w:left="2880" w:hanging="360"/>
      </w:pPr>
      <w:rPr>
        <w:rFonts w:ascii="Symbol" w:hAnsi="Symbol" w:hint="default"/>
      </w:rPr>
    </w:lvl>
    <w:lvl w:ilvl="4" w:tplc="1918277E" w:tentative="1">
      <w:start w:val="1"/>
      <w:numFmt w:val="bullet"/>
      <w:lvlText w:val="o"/>
      <w:lvlJc w:val="left"/>
      <w:pPr>
        <w:ind w:left="3600" w:hanging="360"/>
      </w:pPr>
      <w:rPr>
        <w:rFonts w:ascii="Courier New" w:hAnsi="Courier New" w:cs="Courier New" w:hint="default"/>
      </w:rPr>
    </w:lvl>
    <w:lvl w:ilvl="5" w:tplc="785E4AE6" w:tentative="1">
      <w:start w:val="1"/>
      <w:numFmt w:val="bullet"/>
      <w:lvlText w:val=""/>
      <w:lvlJc w:val="left"/>
      <w:pPr>
        <w:ind w:left="4320" w:hanging="360"/>
      </w:pPr>
      <w:rPr>
        <w:rFonts w:ascii="Wingdings" w:hAnsi="Wingdings" w:hint="default"/>
      </w:rPr>
    </w:lvl>
    <w:lvl w:ilvl="6" w:tplc="B8FC248C" w:tentative="1">
      <w:start w:val="1"/>
      <w:numFmt w:val="bullet"/>
      <w:lvlText w:val=""/>
      <w:lvlJc w:val="left"/>
      <w:pPr>
        <w:ind w:left="5040" w:hanging="360"/>
      </w:pPr>
      <w:rPr>
        <w:rFonts w:ascii="Symbol" w:hAnsi="Symbol" w:hint="default"/>
      </w:rPr>
    </w:lvl>
    <w:lvl w:ilvl="7" w:tplc="99F01BA8" w:tentative="1">
      <w:start w:val="1"/>
      <w:numFmt w:val="bullet"/>
      <w:lvlText w:val="o"/>
      <w:lvlJc w:val="left"/>
      <w:pPr>
        <w:ind w:left="5760" w:hanging="360"/>
      </w:pPr>
      <w:rPr>
        <w:rFonts w:ascii="Courier New" w:hAnsi="Courier New" w:cs="Courier New" w:hint="default"/>
      </w:rPr>
    </w:lvl>
    <w:lvl w:ilvl="8" w:tplc="5E5A0F16"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5"/>
  </w:num>
  <w:num w:numId="4">
    <w:abstractNumId w:val="13"/>
  </w:num>
  <w:num w:numId="5">
    <w:abstractNumId w:val="8"/>
  </w:num>
  <w:num w:numId="6">
    <w:abstractNumId w:val="16"/>
  </w:num>
  <w:num w:numId="7">
    <w:abstractNumId w:val="3"/>
  </w:num>
  <w:num w:numId="8">
    <w:abstractNumId w:val="0"/>
  </w:num>
  <w:num w:numId="9">
    <w:abstractNumId w:val="14"/>
  </w:num>
  <w:num w:numId="10">
    <w:abstractNumId w:val="11"/>
  </w:num>
  <w:num w:numId="11">
    <w:abstractNumId w:val="10"/>
  </w:num>
  <w:num w:numId="12">
    <w:abstractNumId w:val="1"/>
  </w:num>
  <w:num w:numId="13">
    <w:abstractNumId w:val="7"/>
  </w:num>
  <w:num w:numId="14">
    <w:abstractNumId w:val="4"/>
  </w:num>
  <w:num w:numId="15">
    <w:abstractNumId w:val="6"/>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DF"/>
    <w:rsid w:val="000412FD"/>
    <w:rsid w:val="00066E04"/>
    <w:rsid w:val="000A471B"/>
    <w:rsid w:val="000E075C"/>
    <w:rsid w:val="00152C3C"/>
    <w:rsid w:val="0015552C"/>
    <w:rsid w:val="00164397"/>
    <w:rsid w:val="00171188"/>
    <w:rsid w:val="0019309D"/>
    <w:rsid w:val="00197024"/>
    <w:rsid w:val="001C3B90"/>
    <w:rsid w:val="001F0343"/>
    <w:rsid w:val="00214331"/>
    <w:rsid w:val="00227956"/>
    <w:rsid w:val="002279C5"/>
    <w:rsid w:val="00240330"/>
    <w:rsid w:val="00250046"/>
    <w:rsid w:val="00263660"/>
    <w:rsid w:val="002B6445"/>
    <w:rsid w:val="002C5314"/>
    <w:rsid w:val="002D4460"/>
    <w:rsid w:val="002D5785"/>
    <w:rsid w:val="00301FE6"/>
    <w:rsid w:val="003105B4"/>
    <w:rsid w:val="00311CF2"/>
    <w:rsid w:val="00330FAB"/>
    <w:rsid w:val="00384637"/>
    <w:rsid w:val="00390375"/>
    <w:rsid w:val="003C6374"/>
    <w:rsid w:val="003E671C"/>
    <w:rsid w:val="00400995"/>
    <w:rsid w:val="00422626"/>
    <w:rsid w:val="00424D19"/>
    <w:rsid w:val="00434759"/>
    <w:rsid w:val="00437E87"/>
    <w:rsid w:val="004A0883"/>
    <w:rsid w:val="004A4DBE"/>
    <w:rsid w:val="004B01CB"/>
    <w:rsid w:val="004B34F5"/>
    <w:rsid w:val="004B7BEC"/>
    <w:rsid w:val="004C37FB"/>
    <w:rsid w:val="004E2CA4"/>
    <w:rsid w:val="0052618C"/>
    <w:rsid w:val="00527D55"/>
    <w:rsid w:val="00535624"/>
    <w:rsid w:val="00562645"/>
    <w:rsid w:val="00581340"/>
    <w:rsid w:val="00587789"/>
    <w:rsid w:val="005A5197"/>
    <w:rsid w:val="005C054D"/>
    <w:rsid w:val="005C1C5D"/>
    <w:rsid w:val="005F16C0"/>
    <w:rsid w:val="00600326"/>
    <w:rsid w:val="006118E9"/>
    <w:rsid w:val="0062352F"/>
    <w:rsid w:val="006302D6"/>
    <w:rsid w:val="006315FB"/>
    <w:rsid w:val="00646C7D"/>
    <w:rsid w:val="00685812"/>
    <w:rsid w:val="006C2E60"/>
    <w:rsid w:val="006C581B"/>
    <w:rsid w:val="006E1CDE"/>
    <w:rsid w:val="006E60CC"/>
    <w:rsid w:val="0071754B"/>
    <w:rsid w:val="00760512"/>
    <w:rsid w:val="0076294A"/>
    <w:rsid w:val="00772F2E"/>
    <w:rsid w:val="008047C9"/>
    <w:rsid w:val="00830417"/>
    <w:rsid w:val="00840411"/>
    <w:rsid w:val="00871AED"/>
    <w:rsid w:val="008B181D"/>
    <w:rsid w:val="008D2A57"/>
    <w:rsid w:val="008E6587"/>
    <w:rsid w:val="008F025B"/>
    <w:rsid w:val="009018AB"/>
    <w:rsid w:val="0091698D"/>
    <w:rsid w:val="00946B9E"/>
    <w:rsid w:val="00974BCD"/>
    <w:rsid w:val="00984923"/>
    <w:rsid w:val="00987C08"/>
    <w:rsid w:val="009A55F1"/>
    <w:rsid w:val="009B0745"/>
    <w:rsid w:val="009B36DF"/>
    <w:rsid w:val="009C1CAB"/>
    <w:rsid w:val="009C53CB"/>
    <w:rsid w:val="009C74CB"/>
    <w:rsid w:val="009E5662"/>
    <w:rsid w:val="00A12F64"/>
    <w:rsid w:val="00A42F88"/>
    <w:rsid w:val="00A430F0"/>
    <w:rsid w:val="00A521E7"/>
    <w:rsid w:val="00A575D8"/>
    <w:rsid w:val="00AB297A"/>
    <w:rsid w:val="00AD10DE"/>
    <w:rsid w:val="00AF7ABC"/>
    <w:rsid w:val="00B0509D"/>
    <w:rsid w:val="00B31A97"/>
    <w:rsid w:val="00B703DF"/>
    <w:rsid w:val="00B90204"/>
    <w:rsid w:val="00BC3452"/>
    <w:rsid w:val="00BD4F51"/>
    <w:rsid w:val="00BF59D1"/>
    <w:rsid w:val="00C05C8F"/>
    <w:rsid w:val="00C21080"/>
    <w:rsid w:val="00C219AF"/>
    <w:rsid w:val="00C420ED"/>
    <w:rsid w:val="00C50D18"/>
    <w:rsid w:val="00C62007"/>
    <w:rsid w:val="00C902A7"/>
    <w:rsid w:val="00C914C3"/>
    <w:rsid w:val="00CC5609"/>
    <w:rsid w:val="00CD4653"/>
    <w:rsid w:val="00CE1E8F"/>
    <w:rsid w:val="00D03504"/>
    <w:rsid w:val="00D32B11"/>
    <w:rsid w:val="00D82185"/>
    <w:rsid w:val="00D85646"/>
    <w:rsid w:val="00DD10AD"/>
    <w:rsid w:val="00DF4077"/>
    <w:rsid w:val="00E45A14"/>
    <w:rsid w:val="00E84520"/>
    <w:rsid w:val="00F17934"/>
    <w:rsid w:val="00F359C5"/>
    <w:rsid w:val="00F452D5"/>
    <w:rsid w:val="00F5202B"/>
    <w:rsid w:val="00F60555"/>
    <w:rsid w:val="00F779F6"/>
    <w:rsid w:val="00F82BBA"/>
    <w:rsid w:val="00F84671"/>
    <w:rsid w:val="00F964EC"/>
    <w:rsid w:val="00FD1344"/>
    <w:rsid w:val="00FD2426"/>
    <w:rsid w:val="00FD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77"/>
  </w:style>
  <w:style w:type="paragraph" w:styleId="Footer">
    <w:name w:val="footer"/>
    <w:basedOn w:val="Normal"/>
    <w:link w:val="FooterChar"/>
    <w:uiPriority w:val="99"/>
    <w:unhideWhenUsed/>
    <w:rsid w:val="00DF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77"/>
  </w:style>
  <w:style w:type="character" w:styleId="Hyperlink">
    <w:name w:val="Hyperlink"/>
    <w:basedOn w:val="DefaultParagraphFont"/>
    <w:uiPriority w:val="99"/>
    <w:unhideWhenUsed/>
    <w:rsid w:val="00871AED"/>
    <w:rPr>
      <w:color w:val="0000FF"/>
      <w:u w:val="single"/>
    </w:rPr>
  </w:style>
  <w:style w:type="character" w:customStyle="1" w:styleId="epub-sectionitem">
    <w:name w:val="epub-section__item"/>
    <w:basedOn w:val="DefaultParagraphFont"/>
    <w:rsid w:val="00C62007"/>
  </w:style>
  <w:style w:type="character" w:customStyle="1" w:styleId="epub-sectiondate">
    <w:name w:val="epub-section__date"/>
    <w:basedOn w:val="DefaultParagraphFont"/>
    <w:rsid w:val="00C62007"/>
  </w:style>
  <w:style w:type="paragraph" w:styleId="NormalWeb">
    <w:name w:val="Normal (Web)"/>
    <w:basedOn w:val="Normal"/>
    <w:uiPriority w:val="99"/>
    <w:unhideWhenUsed/>
    <w:rsid w:val="00066E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066E04"/>
    <w:pPr>
      <w:spacing w:after="0" w:line="240" w:lineRule="auto"/>
      <w:ind w:left="720"/>
      <w:contextualSpacing/>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77"/>
  </w:style>
  <w:style w:type="paragraph" w:styleId="Footer">
    <w:name w:val="footer"/>
    <w:basedOn w:val="Normal"/>
    <w:link w:val="FooterChar"/>
    <w:uiPriority w:val="99"/>
    <w:unhideWhenUsed/>
    <w:rsid w:val="00DF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77"/>
  </w:style>
  <w:style w:type="character" w:styleId="Hyperlink">
    <w:name w:val="Hyperlink"/>
    <w:basedOn w:val="DefaultParagraphFont"/>
    <w:uiPriority w:val="99"/>
    <w:unhideWhenUsed/>
    <w:rsid w:val="00871AED"/>
    <w:rPr>
      <w:color w:val="0000FF"/>
      <w:u w:val="single"/>
    </w:rPr>
  </w:style>
  <w:style w:type="character" w:customStyle="1" w:styleId="epub-sectionitem">
    <w:name w:val="epub-section__item"/>
    <w:basedOn w:val="DefaultParagraphFont"/>
    <w:rsid w:val="00C62007"/>
  </w:style>
  <w:style w:type="character" w:customStyle="1" w:styleId="epub-sectiondate">
    <w:name w:val="epub-section__date"/>
    <w:basedOn w:val="DefaultParagraphFont"/>
    <w:rsid w:val="00C62007"/>
  </w:style>
  <w:style w:type="paragraph" w:styleId="NormalWeb">
    <w:name w:val="Normal (Web)"/>
    <w:basedOn w:val="Normal"/>
    <w:uiPriority w:val="99"/>
    <w:unhideWhenUsed/>
    <w:rsid w:val="00066E0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066E04"/>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8)33078-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6/appi.ajp.2018.17070732" TargetMode="External"/><Relationship Id="rId5" Type="http://schemas.openxmlformats.org/officeDocument/2006/relationships/webSettings" Target="webSettings.xml"/><Relationship Id="rId10" Type="http://schemas.openxmlformats.org/officeDocument/2006/relationships/hyperlink" Target="https://doi.org/10.1111/ajad.13151" TargetMode="External"/><Relationship Id="rId4" Type="http://schemas.openxmlformats.org/officeDocument/2006/relationships/settings" Target="settings.xml"/><Relationship Id="rId9" Type="http://schemas.openxmlformats.org/officeDocument/2006/relationships/hyperlink" Target="https://doi.org/10.1176/appi.ajp.2020.200608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2021-11-27T13:42:00Z</dcterms:created>
  <dcterms:modified xsi:type="dcterms:W3CDTF">2021-11-27T14:24:00Z</dcterms:modified>
</cp:coreProperties>
</file>