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B1AFC" w14:textId="6D645A95" w:rsidR="00186C2D" w:rsidRPr="00724029" w:rsidRDefault="0066206B" w:rsidP="00724029">
      <w:pPr>
        <w:tabs>
          <w:tab w:val="left" w:pos="0"/>
        </w:tabs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Week 3 Discussion: </w:t>
      </w:r>
      <w:r w:rsidR="00CE6705">
        <w:rPr>
          <w:b/>
          <w:bCs/>
          <w:szCs w:val="24"/>
        </w:rPr>
        <w:t>Stigma towards Mental Health</w:t>
      </w:r>
    </w:p>
    <w:p w14:paraId="4BBC5945" w14:textId="26968C53" w:rsidR="00924D48" w:rsidRDefault="008E4416" w:rsidP="008E4416">
      <w:pPr>
        <w:tabs>
          <w:tab w:val="left" w:pos="0"/>
        </w:tabs>
        <w:rPr>
          <w:szCs w:val="24"/>
        </w:rPr>
      </w:pPr>
      <w:r>
        <w:rPr>
          <w:szCs w:val="24"/>
        </w:rPr>
        <w:tab/>
      </w:r>
      <w:r w:rsidR="00315BEF">
        <w:rPr>
          <w:szCs w:val="24"/>
        </w:rPr>
        <w:t xml:space="preserve">In two prospective double-blind cluster-randomized controlled trials, </w:t>
      </w:r>
      <w:proofErr w:type="spellStart"/>
      <w:r w:rsidR="005C5898" w:rsidRPr="0038469E">
        <w:rPr>
          <w:szCs w:val="24"/>
        </w:rPr>
        <w:t>Eiroa-Orosa</w:t>
      </w:r>
      <w:proofErr w:type="spellEnd"/>
      <w:r w:rsidR="005C5898">
        <w:rPr>
          <w:szCs w:val="24"/>
        </w:rPr>
        <w:t xml:space="preserve"> et al. (2021)</w:t>
      </w:r>
      <w:r w:rsidR="00315BEF">
        <w:rPr>
          <w:szCs w:val="24"/>
        </w:rPr>
        <w:t xml:space="preserve"> sought to determine the </w:t>
      </w:r>
      <w:r w:rsidR="006D3F73">
        <w:rPr>
          <w:szCs w:val="24"/>
        </w:rPr>
        <w:t xml:space="preserve">effects of two awareness-raising intervention on </w:t>
      </w:r>
      <w:r w:rsidR="00137817">
        <w:rPr>
          <w:szCs w:val="24"/>
        </w:rPr>
        <w:t xml:space="preserve">primary care </w:t>
      </w:r>
      <w:r w:rsidR="00965706">
        <w:rPr>
          <w:szCs w:val="24"/>
        </w:rPr>
        <w:t xml:space="preserve">(PC) </w:t>
      </w:r>
      <w:r w:rsidR="00137817">
        <w:rPr>
          <w:szCs w:val="24"/>
        </w:rPr>
        <w:t>and mental health</w:t>
      </w:r>
      <w:r w:rsidR="00965706">
        <w:rPr>
          <w:szCs w:val="24"/>
        </w:rPr>
        <w:t xml:space="preserve"> (MH)</w:t>
      </w:r>
      <w:r w:rsidR="00137817">
        <w:rPr>
          <w:szCs w:val="24"/>
        </w:rPr>
        <w:t xml:space="preserve"> professionals’ </w:t>
      </w:r>
      <w:r w:rsidR="006D3F73">
        <w:rPr>
          <w:szCs w:val="24"/>
        </w:rPr>
        <w:t>stigmatizing beliefs and attitudes towards mental health patients</w:t>
      </w:r>
      <w:r w:rsidR="00137817">
        <w:rPr>
          <w:szCs w:val="24"/>
        </w:rPr>
        <w:t xml:space="preserve">. The sample was drawn from </w:t>
      </w:r>
      <w:r w:rsidR="000661DA">
        <w:rPr>
          <w:szCs w:val="24"/>
        </w:rPr>
        <w:t>six</w:t>
      </w:r>
      <w:r w:rsidR="00137817">
        <w:rPr>
          <w:szCs w:val="24"/>
        </w:rPr>
        <w:t xml:space="preserve"> PC and </w:t>
      </w:r>
      <w:r w:rsidR="000661DA">
        <w:rPr>
          <w:szCs w:val="24"/>
        </w:rPr>
        <w:t xml:space="preserve">six </w:t>
      </w:r>
      <w:r w:rsidR="00137817">
        <w:rPr>
          <w:szCs w:val="24"/>
        </w:rPr>
        <w:t>MH centers</w:t>
      </w:r>
      <w:r w:rsidR="000661DA">
        <w:rPr>
          <w:szCs w:val="24"/>
        </w:rPr>
        <w:t xml:space="preserve">, with MH centers including 2 adult MH, 2 substance abuse, and 2 children and adolescent MH centers. </w:t>
      </w:r>
      <w:r w:rsidR="00C47A85">
        <w:rPr>
          <w:szCs w:val="24"/>
        </w:rPr>
        <w:t xml:space="preserve">It comprised of 371 professionals (185 PC and 186 MH) working as administrative officers, nurses, general practitioners, odontologists, social workers, psychiatrists, or psychologists. </w:t>
      </w:r>
      <w:r w:rsidR="006472FB">
        <w:rPr>
          <w:szCs w:val="24"/>
        </w:rPr>
        <w:t xml:space="preserve">The primary outcome (stigmatizing beliefs and attitudes) was measured using </w:t>
      </w:r>
      <w:r w:rsidR="006059DE">
        <w:rPr>
          <w:szCs w:val="24"/>
        </w:rPr>
        <w:t xml:space="preserve">the Opening Minds Stigma Scale for Health Care Providers (OMS-HC) in PC settings and the Beliefs and Attitudes towards Mental Health Service </w:t>
      </w:r>
      <w:r w:rsidR="00E24931">
        <w:rPr>
          <w:szCs w:val="24"/>
        </w:rPr>
        <w:t xml:space="preserve">(BAHMS) </w:t>
      </w:r>
      <w:r w:rsidR="006059DE">
        <w:rPr>
          <w:szCs w:val="24"/>
        </w:rPr>
        <w:t>users’ rights</w:t>
      </w:r>
      <w:r w:rsidR="00E24931">
        <w:rPr>
          <w:szCs w:val="24"/>
        </w:rPr>
        <w:t xml:space="preserve"> scale in MH settings. </w:t>
      </w:r>
    </w:p>
    <w:p w14:paraId="7C62ACB5" w14:textId="664F8DA6" w:rsidR="008E4416" w:rsidRDefault="008E4416" w:rsidP="008E4416">
      <w:pPr>
        <w:tabs>
          <w:tab w:val="left" w:pos="0"/>
        </w:tabs>
        <w:rPr>
          <w:szCs w:val="24"/>
        </w:rPr>
      </w:pPr>
      <w:r>
        <w:rPr>
          <w:szCs w:val="24"/>
        </w:rPr>
        <w:tab/>
      </w:r>
      <w:r w:rsidR="005F0E09">
        <w:rPr>
          <w:szCs w:val="24"/>
        </w:rPr>
        <w:t>In PC setting</w:t>
      </w:r>
      <w:r w:rsidR="00101A08">
        <w:rPr>
          <w:szCs w:val="24"/>
        </w:rPr>
        <w:t>s</w:t>
      </w:r>
      <w:r w:rsidR="005F0E09">
        <w:rPr>
          <w:szCs w:val="24"/>
        </w:rPr>
        <w:t>, the intervention group (IG) and control group (CG) had significant differences in total OMS-HC scores at baseline (</w:t>
      </w:r>
      <w:r w:rsidR="005F0E09">
        <w:rPr>
          <w:i/>
          <w:iCs/>
          <w:szCs w:val="24"/>
        </w:rPr>
        <w:t>t</w:t>
      </w:r>
      <w:r w:rsidR="005F0E09">
        <w:rPr>
          <w:szCs w:val="24"/>
        </w:rPr>
        <w:t xml:space="preserve"> </w:t>
      </w:r>
      <w:r w:rsidR="00673AEE">
        <w:rPr>
          <w:szCs w:val="24"/>
        </w:rPr>
        <w:t>=</w:t>
      </w:r>
      <w:r w:rsidR="00D63192">
        <w:rPr>
          <w:szCs w:val="24"/>
        </w:rPr>
        <w:t xml:space="preserve"> </w:t>
      </w:r>
      <w:r w:rsidR="005F0E09">
        <w:rPr>
          <w:szCs w:val="24"/>
        </w:rPr>
        <w:t xml:space="preserve">2.138, </w:t>
      </w:r>
      <w:r w:rsidR="005F0E09">
        <w:rPr>
          <w:i/>
          <w:iCs/>
          <w:szCs w:val="24"/>
        </w:rPr>
        <w:t>p</w:t>
      </w:r>
      <w:r w:rsidR="00D63192">
        <w:rPr>
          <w:i/>
          <w:iCs/>
          <w:szCs w:val="24"/>
        </w:rPr>
        <w:t xml:space="preserve"> </w:t>
      </w:r>
      <w:r w:rsidR="005F0E09">
        <w:rPr>
          <w:szCs w:val="24"/>
        </w:rPr>
        <w:t>&lt;0.05)</w:t>
      </w:r>
      <w:r w:rsidR="00673AEE">
        <w:rPr>
          <w:szCs w:val="24"/>
        </w:rPr>
        <w:t xml:space="preserve">. Repeated measures </w:t>
      </w:r>
      <w:r w:rsidR="00673AEE">
        <w:rPr>
          <w:i/>
          <w:iCs/>
          <w:szCs w:val="24"/>
        </w:rPr>
        <w:t>t</w:t>
      </w:r>
      <w:r w:rsidR="00673AEE">
        <w:rPr>
          <w:szCs w:val="24"/>
        </w:rPr>
        <w:t>-tests showed a significant decrease in IG</w:t>
      </w:r>
      <w:r w:rsidR="00D63192">
        <w:rPr>
          <w:szCs w:val="24"/>
        </w:rPr>
        <w:t>’s</w:t>
      </w:r>
      <w:r w:rsidR="00673AEE">
        <w:rPr>
          <w:szCs w:val="24"/>
        </w:rPr>
        <w:t xml:space="preserve"> OMS-HC total score </w:t>
      </w:r>
      <w:r w:rsidR="00D63192">
        <w:rPr>
          <w:szCs w:val="24"/>
        </w:rPr>
        <w:t>(</w:t>
      </w:r>
      <w:r w:rsidR="00D63192">
        <w:rPr>
          <w:i/>
          <w:iCs/>
          <w:szCs w:val="24"/>
        </w:rPr>
        <w:t>t</w:t>
      </w:r>
      <w:r w:rsidR="00D63192">
        <w:rPr>
          <w:szCs w:val="24"/>
        </w:rPr>
        <w:t xml:space="preserve"> = 2.813, </w:t>
      </w:r>
      <w:r w:rsidR="00D63192">
        <w:rPr>
          <w:i/>
          <w:iCs/>
          <w:szCs w:val="24"/>
        </w:rPr>
        <w:t xml:space="preserve">p </w:t>
      </w:r>
      <w:r w:rsidR="00D63192">
        <w:rPr>
          <w:szCs w:val="24"/>
        </w:rPr>
        <w:t>&lt;0.01) but not in the CG</w:t>
      </w:r>
      <w:r w:rsidR="00DC714A">
        <w:rPr>
          <w:szCs w:val="24"/>
        </w:rPr>
        <w:t xml:space="preserve"> </w:t>
      </w:r>
      <w:r w:rsidR="00C92F08">
        <w:rPr>
          <w:szCs w:val="24"/>
        </w:rPr>
        <w:t>at 1</w:t>
      </w:r>
      <w:r w:rsidR="00DC714A">
        <w:rPr>
          <w:szCs w:val="24"/>
        </w:rPr>
        <w:t xml:space="preserve">-month follow-up. Similarly, the IG and CG in the MH settings had statistically significant differences in </w:t>
      </w:r>
      <w:r w:rsidR="00647370">
        <w:rPr>
          <w:szCs w:val="24"/>
        </w:rPr>
        <w:t xml:space="preserve">the total BAHMS score (z </w:t>
      </w:r>
      <w:r w:rsidR="0042364D">
        <w:rPr>
          <w:szCs w:val="24"/>
        </w:rPr>
        <w:t xml:space="preserve">= </w:t>
      </w:r>
      <w:r w:rsidR="00647370">
        <w:rPr>
          <w:szCs w:val="24"/>
        </w:rPr>
        <w:t xml:space="preserve">-2.392, </w:t>
      </w:r>
      <w:r w:rsidR="00647370">
        <w:rPr>
          <w:i/>
          <w:iCs/>
          <w:szCs w:val="24"/>
        </w:rPr>
        <w:t>p</w:t>
      </w:r>
      <w:r w:rsidR="00647370">
        <w:rPr>
          <w:szCs w:val="24"/>
        </w:rPr>
        <w:t xml:space="preserve"> &lt;0.05) and the beliefs subscale (z </w:t>
      </w:r>
      <w:r w:rsidR="0042364D">
        <w:rPr>
          <w:szCs w:val="24"/>
        </w:rPr>
        <w:t xml:space="preserve">= </w:t>
      </w:r>
      <w:r w:rsidR="00647370">
        <w:rPr>
          <w:szCs w:val="24"/>
        </w:rPr>
        <w:t xml:space="preserve">-2.419, </w:t>
      </w:r>
      <w:r w:rsidR="00647370">
        <w:rPr>
          <w:i/>
          <w:iCs/>
          <w:szCs w:val="24"/>
        </w:rPr>
        <w:t xml:space="preserve">p </w:t>
      </w:r>
      <w:r w:rsidR="00647370">
        <w:rPr>
          <w:szCs w:val="24"/>
        </w:rPr>
        <w:t>&lt; 0.05)</w:t>
      </w:r>
      <w:r w:rsidR="0042364D">
        <w:rPr>
          <w:szCs w:val="24"/>
        </w:rPr>
        <w:t>. Following the intervention, the IG has a trend in decrease of total BAHMS score (</w:t>
      </w:r>
      <w:r w:rsidR="0042364D">
        <w:rPr>
          <w:i/>
          <w:iCs/>
          <w:szCs w:val="24"/>
        </w:rPr>
        <w:t>t</w:t>
      </w:r>
      <w:r w:rsidR="0042364D">
        <w:rPr>
          <w:szCs w:val="24"/>
        </w:rPr>
        <w:t xml:space="preserve"> 1.708, </w:t>
      </w:r>
      <w:r w:rsidR="0042364D">
        <w:rPr>
          <w:i/>
          <w:iCs/>
          <w:szCs w:val="24"/>
        </w:rPr>
        <w:t xml:space="preserve">p </w:t>
      </w:r>
      <w:r w:rsidR="0042364D">
        <w:rPr>
          <w:szCs w:val="24"/>
        </w:rPr>
        <w:t>0.091), with statistical</w:t>
      </w:r>
      <w:r w:rsidR="00CB55A8">
        <w:rPr>
          <w:szCs w:val="24"/>
        </w:rPr>
        <w:t>l</w:t>
      </w:r>
      <w:r w:rsidR="0042364D">
        <w:rPr>
          <w:szCs w:val="24"/>
        </w:rPr>
        <w:t xml:space="preserve">y significant decrease </w:t>
      </w:r>
      <w:r w:rsidR="00CB55A8">
        <w:rPr>
          <w:szCs w:val="24"/>
        </w:rPr>
        <w:t>[</w:t>
      </w:r>
      <w:r w:rsidR="0042364D">
        <w:rPr>
          <w:szCs w:val="24"/>
        </w:rPr>
        <w:t xml:space="preserve">n the </w:t>
      </w:r>
      <w:r w:rsidR="00CB55A8">
        <w:rPr>
          <w:szCs w:val="24"/>
        </w:rPr>
        <w:t>coercion subscale (</w:t>
      </w:r>
      <w:r w:rsidR="00CB55A8">
        <w:rPr>
          <w:i/>
          <w:iCs/>
          <w:szCs w:val="24"/>
        </w:rPr>
        <w:t>t =</w:t>
      </w:r>
      <w:r w:rsidR="00CB55A8">
        <w:rPr>
          <w:szCs w:val="24"/>
        </w:rPr>
        <w:t xml:space="preserve"> 3.056, </w:t>
      </w:r>
      <w:r w:rsidR="00CB55A8">
        <w:rPr>
          <w:i/>
          <w:iCs/>
          <w:szCs w:val="24"/>
        </w:rPr>
        <w:t xml:space="preserve"> p </w:t>
      </w:r>
      <w:r w:rsidR="00CB55A8">
        <w:rPr>
          <w:szCs w:val="24"/>
        </w:rPr>
        <w:t>&lt; 0.05).</w:t>
      </w:r>
      <w:r w:rsidR="009263B8">
        <w:rPr>
          <w:szCs w:val="24"/>
        </w:rPr>
        <w:t xml:space="preserve"> The findings show that awareness-raising interventions on healthcare professionals can significantly reduce their stigmatizing beliefs and attitudes towards patients with mental illness. </w:t>
      </w:r>
    </w:p>
    <w:p w14:paraId="6293A7A2" w14:textId="551544FC" w:rsidR="009263B8" w:rsidRDefault="009263B8" w:rsidP="008E4416">
      <w:pPr>
        <w:tabs>
          <w:tab w:val="left" w:pos="0"/>
        </w:tabs>
        <w:rPr>
          <w:szCs w:val="24"/>
        </w:rPr>
      </w:pPr>
      <w:r>
        <w:rPr>
          <w:szCs w:val="24"/>
        </w:rPr>
        <w:tab/>
        <w:t xml:space="preserve">The study has several </w:t>
      </w:r>
      <w:r w:rsidR="007921A3">
        <w:rPr>
          <w:szCs w:val="24"/>
        </w:rPr>
        <w:t>limitations, d</w:t>
      </w:r>
      <w:r>
        <w:rPr>
          <w:szCs w:val="24"/>
        </w:rPr>
        <w:t>espite the positive outcomes</w:t>
      </w:r>
      <w:r w:rsidR="00C92F08">
        <w:rPr>
          <w:szCs w:val="24"/>
        </w:rPr>
        <w:t>. First, the study had a high attrition rate</w:t>
      </w:r>
      <w:r w:rsidR="009B4CA5">
        <w:rPr>
          <w:szCs w:val="24"/>
        </w:rPr>
        <w:t>. Only 54.5</w:t>
      </w:r>
      <w:r w:rsidR="00460904">
        <w:rPr>
          <w:szCs w:val="24"/>
        </w:rPr>
        <w:t xml:space="preserve">% </w:t>
      </w:r>
      <w:r w:rsidR="009B4CA5">
        <w:rPr>
          <w:szCs w:val="24"/>
        </w:rPr>
        <w:t xml:space="preserve">and 3% </w:t>
      </w:r>
      <w:r w:rsidR="00392BE9">
        <w:rPr>
          <w:szCs w:val="24"/>
        </w:rPr>
        <w:t>(</w:t>
      </w:r>
      <w:r w:rsidR="00E05996">
        <w:rPr>
          <w:szCs w:val="24"/>
        </w:rPr>
        <w:t xml:space="preserve">PC </w:t>
      </w:r>
      <w:r w:rsidR="00460904">
        <w:rPr>
          <w:szCs w:val="24"/>
        </w:rPr>
        <w:t>participants</w:t>
      </w:r>
      <w:r w:rsidR="00392BE9">
        <w:rPr>
          <w:szCs w:val="24"/>
        </w:rPr>
        <w:t>)</w:t>
      </w:r>
      <w:r w:rsidR="003D00AA">
        <w:rPr>
          <w:szCs w:val="24"/>
        </w:rPr>
        <w:t xml:space="preserve"> </w:t>
      </w:r>
      <w:r w:rsidR="009B4CA5">
        <w:rPr>
          <w:szCs w:val="24"/>
        </w:rPr>
        <w:t xml:space="preserve">and </w:t>
      </w:r>
      <w:r w:rsidR="00392BE9">
        <w:rPr>
          <w:szCs w:val="24"/>
        </w:rPr>
        <w:t>8</w:t>
      </w:r>
      <w:r w:rsidR="00732BEF">
        <w:rPr>
          <w:szCs w:val="24"/>
        </w:rPr>
        <w:t xml:space="preserve">5% and 32% (MH participants) </w:t>
      </w:r>
      <w:r w:rsidR="003D00AA">
        <w:rPr>
          <w:szCs w:val="24"/>
        </w:rPr>
        <w:t>complete</w:t>
      </w:r>
      <w:r w:rsidR="00732BEF">
        <w:rPr>
          <w:szCs w:val="24"/>
        </w:rPr>
        <w:t xml:space="preserve">d </w:t>
      </w:r>
      <w:r w:rsidR="003D00AA">
        <w:rPr>
          <w:szCs w:val="24"/>
        </w:rPr>
        <w:t xml:space="preserve">1-month </w:t>
      </w:r>
      <w:r w:rsidR="009B4CA5">
        <w:rPr>
          <w:szCs w:val="24"/>
        </w:rPr>
        <w:t xml:space="preserve">and 3-month </w:t>
      </w:r>
      <w:r w:rsidR="003D00AA">
        <w:rPr>
          <w:szCs w:val="24"/>
        </w:rPr>
        <w:t>follow-up</w:t>
      </w:r>
      <w:r w:rsidR="009B4CA5">
        <w:rPr>
          <w:szCs w:val="24"/>
        </w:rPr>
        <w:t>s</w:t>
      </w:r>
      <w:r w:rsidR="00732BEF">
        <w:rPr>
          <w:szCs w:val="24"/>
        </w:rPr>
        <w:t>, respectively.</w:t>
      </w:r>
      <w:r w:rsidR="00FE7DE8">
        <w:rPr>
          <w:szCs w:val="24"/>
        </w:rPr>
        <w:t xml:space="preserve"> The attrition rate affects the reliability </w:t>
      </w:r>
      <w:r w:rsidR="00FE7DE8">
        <w:rPr>
          <w:szCs w:val="24"/>
        </w:rPr>
        <w:lastRenderedPageBreak/>
        <w:t xml:space="preserve">of the results. In addition, the study measured only stigmatizing beliefs and attitudes but not behaviors leaving gaps in understanding the effects of the intervention on practice. </w:t>
      </w:r>
      <w:r w:rsidR="00A86441">
        <w:rPr>
          <w:szCs w:val="24"/>
        </w:rPr>
        <w:t>Nevertheless, the article provides quality evidence (Level I</w:t>
      </w:r>
      <w:r w:rsidR="000B0A49">
        <w:rPr>
          <w:szCs w:val="24"/>
        </w:rPr>
        <w:t>, grade B) based on the methodology used. It offers consistent results with adequate control, definitive conclusions, and consistent recommendations for future research and practice.</w:t>
      </w:r>
      <w:r w:rsidR="00A114C3">
        <w:rPr>
          <w:szCs w:val="24"/>
        </w:rPr>
        <w:t xml:space="preserve"> The most interesting aspect I identified in the study related to the utility of the BAHMS scale in measuring </w:t>
      </w:r>
      <w:r w:rsidR="00186C2D">
        <w:rPr>
          <w:szCs w:val="24"/>
        </w:rPr>
        <w:t xml:space="preserve">stigmatizing beliefs and attitudes. The tool identifies aspects such as beliefs, coercion, paternalism, and discrimination as crucial areas of concern in providing mental health services. </w:t>
      </w:r>
    </w:p>
    <w:p w14:paraId="2C044C5E" w14:textId="3BF27D4D" w:rsidR="0066206B" w:rsidRDefault="0066206B">
      <w:pPr>
        <w:rPr>
          <w:szCs w:val="24"/>
        </w:rPr>
      </w:pPr>
      <w:r>
        <w:rPr>
          <w:szCs w:val="24"/>
        </w:rPr>
        <w:br w:type="page"/>
      </w:r>
    </w:p>
    <w:p w14:paraId="0DC57EC6" w14:textId="77777777" w:rsidR="00901490" w:rsidRDefault="00901490" w:rsidP="0066206B">
      <w:pPr>
        <w:tabs>
          <w:tab w:val="left" w:pos="0"/>
        </w:tabs>
        <w:jc w:val="center"/>
        <w:rPr>
          <w:b/>
          <w:bCs/>
        </w:rPr>
        <w:sectPr w:rsidR="00901490">
          <w:headerReference w:type="default" r:id="rId7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60BDD3EE" w14:textId="1B7F0B98" w:rsidR="0066206B" w:rsidRPr="0066206B" w:rsidRDefault="0066206B" w:rsidP="0066206B">
      <w:pPr>
        <w:tabs>
          <w:tab w:val="left" w:pos="0"/>
        </w:tabs>
        <w:jc w:val="center"/>
        <w:rPr>
          <w:b/>
          <w:bCs/>
        </w:rPr>
      </w:pPr>
      <w:r w:rsidRPr="0066206B">
        <w:rPr>
          <w:b/>
          <w:bCs/>
        </w:rPr>
        <w:lastRenderedPageBreak/>
        <w:t>John Hopkins Appraisal Tool</w:t>
      </w:r>
    </w:p>
    <w:tbl>
      <w:tblPr>
        <w:tblW w:w="5000" w:type="pct"/>
        <w:tblBorders>
          <w:top w:val="single" w:sz="4" w:space="0" w:color="58595B"/>
          <w:left w:val="single" w:sz="4" w:space="0" w:color="58595B"/>
          <w:bottom w:val="single" w:sz="4" w:space="0" w:color="58595B"/>
          <w:right w:val="single" w:sz="4" w:space="0" w:color="58595B"/>
          <w:insideH w:val="single" w:sz="4" w:space="0" w:color="58595B"/>
          <w:insideV w:val="single" w:sz="4" w:space="0" w:color="58595B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5"/>
        <w:gridCol w:w="1620"/>
        <w:gridCol w:w="1563"/>
        <w:gridCol w:w="1662"/>
        <w:gridCol w:w="2063"/>
        <w:gridCol w:w="1595"/>
        <w:gridCol w:w="1671"/>
        <w:gridCol w:w="1671"/>
      </w:tblGrid>
      <w:tr w:rsidR="00E030FD" w:rsidRPr="00901490" w14:paraId="0DDF5EBF" w14:textId="77777777" w:rsidTr="00C12A4F">
        <w:trPr>
          <w:trHeight w:val="920"/>
        </w:trPr>
        <w:tc>
          <w:tcPr>
            <w:tcW w:w="375" w:type="pct"/>
            <w:shd w:val="clear" w:color="auto" w:fill="D1D3D4"/>
          </w:tcPr>
          <w:p w14:paraId="6865B2D4" w14:textId="77777777" w:rsidR="00E030FD" w:rsidRPr="00901490" w:rsidRDefault="00E030FD" w:rsidP="00777C36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8A4C01" w14:textId="77777777" w:rsidR="00E030FD" w:rsidRPr="00901490" w:rsidRDefault="00E030FD" w:rsidP="00777C36">
            <w:pPr>
              <w:pStyle w:val="TableParagraph"/>
              <w:spacing w:before="155" w:line="240" w:lineRule="atLeast"/>
              <w:ind w:left="103" w:right="13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490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 xml:space="preserve">Article </w:t>
            </w:r>
            <w:r w:rsidRPr="00901490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Number</w:t>
            </w:r>
          </w:p>
        </w:tc>
        <w:tc>
          <w:tcPr>
            <w:tcW w:w="633" w:type="pct"/>
            <w:shd w:val="clear" w:color="auto" w:fill="D1D3D4"/>
          </w:tcPr>
          <w:p w14:paraId="749285CC" w14:textId="77777777" w:rsidR="00E030FD" w:rsidRPr="00901490" w:rsidRDefault="00E030FD" w:rsidP="00777C36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23CF3B" w14:textId="77777777" w:rsidR="00E030FD" w:rsidRPr="00901490" w:rsidRDefault="00E030FD" w:rsidP="00777C36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D1E878" w14:textId="77777777" w:rsidR="00E030FD" w:rsidRPr="00901490" w:rsidRDefault="00E030FD" w:rsidP="00777C36">
            <w:pPr>
              <w:pStyle w:val="TableParagraph"/>
              <w:spacing w:before="176"/>
              <w:ind w:left="10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490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Author and Date</w:t>
            </w:r>
          </w:p>
        </w:tc>
        <w:tc>
          <w:tcPr>
            <w:tcW w:w="611" w:type="pct"/>
            <w:shd w:val="clear" w:color="auto" w:fill="D1D3D4"/>
          </w:tcPr>
          <w:p w14:paraId="7BD01BDB" w14:textId="77777777" w:rsidR="00E030FD" w:rsidRPr="00901490" w:rsidRDefault="00E030FD" w:rsidP="00777C36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C99FB5" w14:textId="77777777" w:rsidR="00E030FD" w:rsidRPr="00901490" w:rsidRDefault="00E030FD" w:rsidP="00777C36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00EC66" w14:textId="77777777" w:rsidR="00E030FD" w:rsidRPr="00901490" w:rsidRDefault="00E030FD" w:rsidP="00777C36">
            <w:pPr>
              <w:pStyle w:val="TableParagraph"/>
              <w:spacing w:before="176"/>
              <w:ind w:left="10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490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Evidence Type</w:t>
            </w:r>
          </w:p>
        </w:tc>
        <w:tc>
          <w:tcPr>
            <w:tcW w:w="649" w:type="pct"/>
            <w:shd w:val="clear" w:color="auto" w:fill="D1D3D4"/>
          </w:tcPr>
          <w:p w14:paraId="0979D276" w14:textId="77777777" w:rsidR="00E030FD" w:rsidRPr="00901490" w:rsidRDefault="00E030FD" w:rsidP="00777C36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8B9E55" w14:textId="77777777" w:rsidR="00E030FD" w:rsidRPr="00901490" w:rsidRDefault="00E030FD" w:rsidP="00777C36">
            <w:pPr>
              <w:pStyle w:val="TableParagraph"/>
              <w:spacing w:before="155" w:line="240" w:lineRule="atLeast"/>
              <w:ind w:left="103" w:right="1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490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Sample, Sample Size, Setting</w:t>
            </w:r>
          </w:p>
        </w:tc>
        <w:tc>
          <w:tcPr>
            <w:tcW w:w="804" w:type="pct"/>
            <w:shd w:val="clear" w:color="auto" w:fill="D1D3D4"/>
          </w:tcPr>
          <w:p w14:paraId="0445F5D4" w14:textId="77777777" w:rsidR="00E030FD" w:rsidRPr="00901490" w:rsidRDefault="00E030FD" w:rsidP="00777C36">
            <w:pPr>
              <w:pStyle w:val="TableParagraph"/>
              <w:spacing w:before="167" w:line="240" w:lineRule="atLeast"/>
              <w:ind w:left="10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490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Findings That Help Answer the EBP Question</w:t>
            </w:r>
          </w:p>
        </w:tc>
        <w:tc>
          <w:tcPr>
            <w:tcW w:w="623" w:type="pct"/>
            <w:shd w:val="clear" w:color="auto" w:fill="D1D3D4"/>
          </w:tcPr>
          <w:p w14:paraId="0AF47C6B" w14:textId="77777777" w:rsidR="00E030FD" w:rsidRPr="00901490" w:rsidRDefault="00E030FD" w:rsidP="00777C36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55C366" w14:textId="77777777" w:rsidR="00E030FD" w:rsidRPr="00901490" w:rsidRDefault="00E030FD" w:rsidP="00777C36">
            <w:pPr>
              <w:pStyle w:val="TableParagraph"/>
              <w:spacing w:before="155" w:line="240" w:lineRule="atLeast"/>
              <w:ind w:left="103" w:right="1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490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Observable </w:t>
            </w:r>
            <w:r w:rsidRPr="00901490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Measures</w:t>
            </w:r>
          </w:p>
        </w:tc>
        <w:tc>
          <w:tcPr>
            <w:tcW w:w="652" w:type="pct"/>
            <w:shd w:val="clear" w:color="auto" w:fill="D1D3D4"/>
          </w:tcPr>
          <w:p w14:paraId="5536188A" w14:textId="77777777" w:rsidR="00E030FD" w:rsidRPr="00901490" w:rsidRDefault="00E030FD" w:rsidP="00777C36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5842F9" w14:textId="77777777" w:rsidR="00E030FD" w:rsidRPr="00901490" w:rsidRDefault="00E030FD" w:rsidP="00777C36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0DFFF5" w14:textId="77777777" w:rsidR="00E030FD" w:rsidRPr="00901490" w:rsidRDefault="00E030FD" w:rsidP="00777C36">
            <w:pPr>
              <w:pStyle w:val="TableParagraph"/>
              <w:spacing w:before="176"/>
              <w:ind w:left="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490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Limitations</w:t>
            </w:r>
          </w:p>
        </w:tc>
        <w:tc>
          <w:tcPr>
            <w:tcW w:w="652" w:type="pct"/>
            <w:shd w:val="clear" w:color="auto" w:fill="D1D3D4"/>
          </w:tcPr>
          <w:p w14:paraId="24212802" w14:textId="77777777" w:rsidR="00E030FD" w:rsidRPr="00901490" w:rsidRDefault="00E030FD" w:rsidP="00777C36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088B93" w14:textId="77777777" w:rsidR="00E030FD" w:rsidRPr="00901490" w:rsidRDefault="00E030FD" w:rsidP="00777C36">
            <w:pPr>
              <w:pStyle w:val="TableParagraph"/>
              <w:spacing w:before="155" w:line="240" w:lineRule="atLeast"/>
              <w:ind w:left="103" w:righ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490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Evidence Level, Quality</w:t>
            </w:r>
          </w:p>
        </w:tc>
      </w:tr>
      <w:tr w:rsidR="00E030FD" w14:paraId="67532970" w14:textId="77777777" w:rsidTr="00C12A4F">
        <w:trPr>
          <w:trHeight w:val="920"/>
        </w:trPr>
        <w:tc>
          <w:tcPr>
            <w:tcW w:w="375" w:type="pct"/>
            <w:shd w:val="clear" w:color="auto" w:fill="D1D3D4"/>
          </w:tcPr>
          <w:p w14:paraId="4D427EC8" w14:textId="77777777" w:rsidR="00E030FD" w:rsidRDefault="00E030FD" w:rsidP="00777C36">
            <w:pPr>
              <w:pStyle w:val="TableParagraph"/>
              <w:rPr>
                <w:b/>
              </w:rPr>
            </w:pPr>
          </w:p>
        </w:tc>
        <w:tc>
          <w:tcPr>
            <w:tcW w:w="633" w:type="pct"/>
            <w:shd w:val="clear" w:color="auto" w:fill="D1D3D4"/>
          </w:tcPr>
          <w:p w14:paraId="0B069DBE" w14:textId="77777777" w:rsidR="00E030FD" w:rsidRDefault="00E030FD" w:rsidP="00777C36">
            <w:pPr>
              <w:pStyle w:val="TableParagraph"/>
              <w:rPr>
                <w:b/>
              </w:rPr>
            </w:pPr>
          </w:p>
        </w:tc>
        <w:tc>
          <w:tcPr>
            <w:tcW w:w="611" w:type="pct"/>
            <w:shd w:val="clear" w:color="auto" w:fill="D1D3D4"/>
          </w:tcPr>
          <w:p w14:paraId="17DE48C2" w14:textId="77777777" w:rsidR="00E030FD" w:rsidRDefault="00E030FD" w:rsidP="00777C36">
            <w:pPr>
              <w:pStyle w:val="TableParagraph"/>
              <w:rPr>
                <w:b/>
              </w:rPr>
            </w:pPr>
          </w:p>
        </w:tc>
        <w:tc>
          <w:tcPr>
            <w:tcW w:w="649" w:type="pct"/>
            <w:shd w:val="clear" w:color="auto" w:fill="D1D3D4"/>
          </w:tcPr>
          <w:p w14:paraId="4599FFEF" w14:textId="77777777" w:rsidR="00E030FD" w:rsidRDefault="00E030FD" w:rsidP="00777C36">
            <w:pPr>
              <w:pStyle w:val="TableParagraph"/>
              <w:rPr>
                <w:b/>
              </w:rPr>
            </w:pPr>
          </w:p>
        </w:tc>
        <w:tc>
          <w:tcPr>
            <w:tcW w:w="804" w:type="pct"/>
            <w:shd w:val="clear" w:color="auto" w:fill="D1D3D4"/>
          </w:tcPr>
          <w:p w14:paraId="3FFC5C46" w14:textId="77777777" w:rsidR="00E030FD" w:rsidRDefault="00E030FD" w:rsidP="00777C36">
            <w:pPr>
              <w:pStyle w:val="TableParagraph"/>
              <w:spacing w:before="167" w:line="240" w:lineRule="atLeast"/>
              <w:ind w:left="103"/>
              <w:rPr>
                <w:b/>
                <w:color w:val="231F20"/>
                <w:sz w:val="18"/>
              </w:rPr>
            </w:pPr>
          </w:p>
        </w:tc>
        <w:tc>
          <w:tcPr>
            <w:tcW w:w="623" w:type="pct"/>
            <w:shd w:val="clear" w:color="auto" w:fill="D1D3D4"/>
          </w:tcPr>
          <w:p w14:paraId="4F6CCB36" w14:textId="77777777" w:rsidR="00E030FD" w:rsidRDefault="00E030FD" w:rsidP="00777C36">
            <w:pPr>
              <w:pStyle w:val="TableParagraph"/>
              <w:rPr>
                <w:b/>
              </w:rPr>
            </w:pPr>
          </w:p>
        </w:tc>
        <w:tc>
          <w:tcPr>
            <w:tcW w:w="652" w:type="pct"/>
            <w:shd w:val="clear" w:color="auto" w:fill="D1D3D4"/>
          </w:tcPr>
          <w:p w14:paraId="1BBCB208" w14:textId="77777777" w:rsidR="00E030FD" w:rsidRDefault="00E030FD" w:rsidP="00777C36">
            <w:pPr>
              <w:pStyle w:val="TableParagraph"/>
              <w:rPr>
                <w:b/>
              </w:rPr>
            </w:pPr>
          </w:p>
        </w:tc>
        <w:tc>
          <w:tcPr>
            <w:tcW w:w="652" w:type="pct"/>
            <w:shd w:val="clear" w:color="auto" w:fill="D1D3D4"/>
          </w:tcPr>
          <w:p w14:paraId="3106A776" w14:textId="77777777" w:rsidR="00E030FD" w:rsidRDefault="00E030FD" w:rsidP="00777C36">
            <w:pPr>
              <w:pStyle w:val="TableParagraph"/>
              <w:rPr>
                <w:b/>
              </w:rPr>
            </w:pPr>
          </w:p>
        </w:tc>
      </w:tr>
      <w:tr w:rsidR="00634AE7" w14:paraId="19170B36" w14:textId="77777777" w:rsidTr="00C12A4F">
        <w:trPr>
          <w:trHeight w:val="880"/>
        </w:trPr>
        <w:tc>
          <w:tcPr>
            <w:tcW w:w="375" w:type="pct"/>
          </w:tcPr>
          <w:p w14:paraId="7C69AA24" w14:textId="40B2752B" w:rsidR="00634AE7" w:rsidRDefault="00634AE7" w:rsidP="00634AE7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16"/>
              </w:rPr>
            </w:pPr>
          </w:p>
        </w:tc>
        <w:tc>
          <w:tcPr>
            <w:tcW w:w="633" w:type="pct"/>
          </w:tcPr>
          <w:p w14:paraId="7CB11BF6" w14:textId="24347825" w:rsidR="00634AE7" w:rsidRPr="007B621D" w:rsidRDefault="00634AE7" w:rsidP="00634AE7">
            <w:pPr>
              <w:pStyle w:val="TableParagraph"/>
              <w:rPr>
                <w:rFonts w:ascii="Times New Roman"/>
                <w:sz w:val="16"/>
                <w:szCs w:val="16"/>
              </w:rPr>
            </w:pPr>
            <w:proofErr w:type="spellStart"/>
            <w:r w:rsidRPr="0038469E">
              <w:rPr>
                <w:rFonts w:ascii="Times New Roman"/>
                <w:sz w:val="24"/>
                <w:szCs w:val="24"/>
              </w:rPr>
              <w:t>Eiroa-Orosa</w:t>
            </w:r>
            <w:proofErr w:type="spellEnd"/>
            <w:r w:rsidRPr="0038469E">
              <w:rPr>
                <w:rFonts w:ascii="Times New Roman"/>
                <w:sz w:val="24"/>
                <w:szCs w:val="24"/>
              </w:rPr>
              <w:t xml:space="preserve"> et al. (2021)</w:t>
            </w:r>
          </w:p>
        </w:tc>
        <w:tc>
          <w:tcPr>
            <w:tcW w:w="611" w:type="pct"/>
          </w:tcPr>
          <w:p w14:paraId="318ABA5C" w14:textId="77AC56E4" w:rsidR="00634AE7" w:rsidRDefault="00634AE7" w:rsidP="00634AE7">
            <w:pPr>
              <w:pStyle w:val="TableParagraph"/>
              <w:rPr>
                <w:rFonts w:ascii="Times New Roman"/>
                <w:sz w:val="16"/>
              </w:rPr>
            </w:pPr>
            <w:r w:rsidRPr="0038469E">
              <w:rPr>
                <w:rFonts w:ascii="Times New Roman"/>
                <w:sz w:val="24"/>
                <w:szCs w:val="24"/>
              </w:rPr>
              <w:t>Quantitative; Randomized Controlled Trial (RCT)</w:t>
            </w:r>
          </w:p>
        </w:tc>
        <w:tc>
          <w:tcPr>
            <w:tcW w:w="649" w:type="pct"/>
          </w:tcPr>
          <w:p w14:paraId="3BA4E45E" w14:textId="77777777" w:rsidR="00634AE7" w:rsidRPr="0038469E" w:rsidRDefault="00634AE7" w:rsidP="00634AE7">
            <w:pPr>
              <w:pStyle w:val="TableParagraph"/>
              <w:tabs>
                <w:tab w:val="left" w:pos="1064"/>
              </w:tabs>
              <w:ind w:righ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38469E">
              <w:rPr>
                <w:rFonts w:ascii="Times New Roman" w:hAnsi="Times New Roman" w:cs="Times New Roman"/>
                <w:sz w:val="24"/>
                <w:szCs w:val="24"/>
              </w:rPr>
              <w:t xml:space="preserve">The sample consisted of professionals in primary care and mental health settings, working as administrative officers, nurses, general practitioners, psychiatrists, psychologist, odontologists, or social workers. </w:t>
            </w:r>
          </w:p>
          <w:p w14:paraId="3FD9B1B5" w14:textId="77777777" w:rsidR="00634AE7" w:rsidRPr="0038469E" w:rsidRDefault="00634AE7" w:rsidP="00634AE7">
            <w:pPr>
              <w:pStyle w:val="TableParagraph"/>
              <w:tabs>
                <w:tab w:val="left" w:pos="1064"/>
              </w:tabs>
              <w:ind w:righ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38469E">
              <w:rPr>
                <w:rFonts w:ascii="Times New Roman" w:hAnsi="Times New Roman" w:cs="Times New Roman"/>
                <w:sz w:val="24"/>
                <w:szCs w:val="24"/>
              </w:rPr>
              <w:t xml:space="preserve">The sample included N=371 participants, n=185 from primary care and n=186 </w:t>
            </w:r>
            <w:r w:rsidRPr="003846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from mental health.</w:t>
            </w:r>
          </w:p>
          <w:p w14:paraId="062AB9A8" w14:textId="1D833224" w:rsidR="00634AE7" w:rsidRDefault="00634AE7" w:rsidP="00634AE7">
            <w:pPr>
              <w:pStyle w:val="TableParagraph"/>
              <w:tabs>
                <w:tab w:val="left" w:pos="1064"/>
              </w:tabs>
              <w:ind w:right="132"/>
              <w:rPr>
                <w:rFonts w:ascii="Gill Sans MT"/>
                <w:sz w:val="14"/>
              </w:rPr>
            </w:pPr>
            <w:r w:rsidRPr="0038469E">
              <w:rPr>
                <w:rFonts w:ascii="Times New Roman" w:hAnsi="Times New Roman" w:cs="Times New Roman"/>
                <w:sz w:val="24"/>
                <w:szCs w:val="24"/>
              </w:rPr>
              <w:t>The study was accomplished in primary care and mental health centers in Catalonia</w:t>
            </w:r>
          </w:p>
        </w:tc>
        <w:tc>
          <w:tcPr>
            <w:tcW w:w="804" w:type="pct"/>
          </w:tcPr>
          <w:p w14:paraId="30210C11" w14:textId="43B277C9" w:rsidR="00634AE7" w:rsidRPr="007B621D" w:rsidRDefault="00634AE7" w:rsidP="00634AE7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 w:rsidRPr="0038469E">
              <w:rPr>
                <w:rFonts w:ascii="Times New Roman"/>
                <w:sz w:val="24"/>
                <w:szCs w:val="24"/>
              </w:rPr>
              <w:lastRenderedPageBreak/>
              <w:t>In primary care, the intervention group had statistically significant changes in stigma beliefs and attitudes (</w:t>
            </w:r>
            <w:r w:rsidRPr="0038469E">
              <w:rPr>
                <w:rFonts w:ascii="Times New Roman"/>
                <w:i/>
                <w:iCs/>
                <w:sz w:val="24"/>
                <w:szCs w:val="24"/>
              </w:rPr>
              <w:t>t</w:t>
            </w:r>
            <w:r w:rsidRPr="0038469E">
              <w:rPr>
                <w:rFonts w:ascii="Times New Roman"/>
                <w:sz w:val="24"/>
                <w:szCs w:val="24"/>
              </w:rPr>
              <w:t xml:space="preserve">=2.813, </w:t>
            </w:r>
            <w:r w:rsidRPr="0038469E">
              <w:rPr>
                <w:rFonts w:ascii="Times New Roman"/>
                <w:i/>
                <w:iCs/>
                <w:sz w:val="24"/>
                <w:szCs w:val="24"/>
              </w:rPr>
              <w:t>p</w:t>
            </w:r>
            <w:r w:rsidRPr="0038469E">
              <w:rPr>
                <w:rFonts w:ascii="Times New Roman"/>
                <w:sz w:val="24"/>
                <w:szCs w:val="24"/>
              </w:rPr>
              <w:t xml:space="preserve">&lt;0.01), as measured using the Opening Minds Stigma Scale for Health Care Providers (OMS-HC). In mental health, the intervention and control groups has statistically significant differences in their beliefs (z= - 2.419, </w:t>
            </w:r>
            <w:r w:rsidRPr="0038469E">
              <w:rPr>
                <w:rFonts w:ascii="Times New Roman"/>
                <w:i/>
                <w:iCs/>
                <w:sz w:val="24"/>
                <w:szCs w:val="24"/>
              </w:rPr>
              <w:t>p</w:t>
            </w:r>
            <w:r w:rsidRPr="0038469E">
              <w:rPr>
                <w:rFonts w:ascii="Times New Roman"/>
                <w:sz w:val="24"/>
                <w:szCs w:val="24"/>
              </w:rPr>
              <w:t>&lt;0.05) and total score (z</w:t>
            </w:r>
            <w:r w:rsidR="00E121DD">
              <w:rPr>
                <w:rFonts w:ascii="Times New Roman"/>
                <w:sz w:val="24"/>
                <w:szCs w:val="24"/>
              </w:rPr>
              <w:t xml:space="preserve"> =</w:t>
            </w:r>
            <w:r w:rsidRPr="0038469E">
              <w:rPr>
                <w:rFonts w:ascii="Times New Roman"/>
                <w:sz w:val="24"/>
                <w:szCs w:val="24"/>
              </w:rPr>
              <w:t xml:space="preserve"> -2.392, </w:t>
            </w:r>
            <w:r w:rsidRPr="0038469E">
              <w:rPr>
                <w:rFonts w:ascii="Times New Roman"/>
                <w:i/>
                <w:iCs/>
                <w:sz w:val="24"/>
                <w:szCs w:val="24"/>
              </w:rPr>
              <w:t>p</w:t>
            </w:r>
            <w:r w:rsidRPr="0038469E">
              <w:rPr>
                <w:rFonts w:ascii="Times New Roman"/>
                <w:sz w:val="24"/>
                <w:szCs w:val="24"/>
              </w:rPr>
              <w:t xml:space="preserve">&lt;0.05), as </w:t>
            </w:r>
            <w:r w:rsidRPr="0038469E">
              <w:rPr>
                <w:rFonts w:ascii="Times New Roman"/>
                <w:sz w:val="24"/>
                <w:szCs w:val="24"/>
              </w:rPr>
              <w:lastRenderedPageBreak/>
              <w:t>measured using Beliefs and Attitudes towards Mental Health Service (BAHMS). In addition, the intervention group portrayed a decreasing trend in BAHMS total score (</w:t>
            </w:r>
            <w:r w:rsidRPr="0038469E">
              <w:rPr>
                <w:rFonts w:ascii="Times New Roman"/>
                <w:i/>
                <w:iCs/>
                <w:sz w:val="24"/>
                <w:szCs w:val="24"/>
              </w:rPr>
              <w:t>t</w:t>
            </w:r>
            <w:r w:rsidRPr="0038469E">
              <w:rPr>
                <w:rFonts w:ascii="Times New Roman"/>
                <w:sz w:val="24"/>
                <w:szCs w:val="24"/>
              </w:rPr>
              <w:t xml:space="preserve">=1.708, </w:t>
            </w:r>
            <w:r w:rsidRPr="0038469E">
              <w:rPr>
                <w:rFonts w:ascii="Times New Roman"/>
                <w:i/>
                <w:iCs/>
                <w:sz w:val="24"/>
                <w:szCs w:val="24"/>
              </w:rPr>
              <w:t>p</w:t>
            </w:r>
            <w:r w:rsidRPr="0038469E">
              <w:rPr>
                <w:rFonts w:ascii="Times New Roman"/>
                <w:sz w:val="24"/>
                <w:szCs w:val="24"/>
              </w:rPr>
              <w:t>=0.091) and significant decrease in the coercion subscale (</w:t>
            </w:r>
            <w:r w:rsidRPr="0038469E">
              <w:rPr>
                <w:rFonts w:ascii="Times New Roman"/>
                <w:i/>
                <w:iCs/>
                <w:sz w:val="24"/>
                <w:szCs w:val="24"/>
              </w:rPr>
              <w:t>t</w:t>
            </w:r>
            <w:r w:rsidRPr="0038469E">
              <w:rPr>
                <w:rFonts w:ascii="Times New Roman"/>
                <w:sz w:val="24"/>
                <w:szCs w:val="24"/>
              </w:rPr>
              <w:t xml:space="preserve">=3.056, </w:t>
            </w:r>
            <w:r w:rsidRPr="0038469E">
              <w:rPr>
                <w:rFonts w:ascii="Times New Roman"/>
                <w:i/>
                <w:iCs/>
                <w:sz w:val="24"/>
                <w:szCs w:val="24"/>
              </w:rPr>
              <w:t>p</w:t>
            </w:r>
            <w:r w:rsidRPr="0038469E">
              <w:rPr>
                <w:rFonts w:ascii="Times New Roman"/>
                <w:sz w:val="24"/>
                <w:szCs w:val="24"/>
              </w:rPr>
              <w:t>&lt;0.05).</w:t>
            </w:r>
          </w:p>
        </w:tc>
        <w:tc>
          <w:tcPr>
            <w:tcW w:w="623" w:type="pct"/>
          </w:tcPr>
          <w:p w14:paraId="7ED8BE31" w14:textId="76017622" w:rsidR="00634AE7" w:rsidRPr="007B621D" w:rsidRDefault="00634AE7" w:rsidP="00634AE7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 w:rsidRPr="0038469E">
              <w:rPr>
                <w:rFonts w:ascii="Times New Roman"/>
                <w:sz w:val="24"/>
                <w:szCs w:val="24"/>
              </w:rPr>
              <w:lastRenderedPageBreak/>
              <w:t>Stigmatizing beliefs and behaviors measured using OMS-HC in PC and BAHMS in MH centers.</w:t>
            </w:r>
          </w:p>
        </w:tc>
        <w:tc>
          <w:tcPr>
            <w:tcW w:w="652" w:type="pct"/>
          </w:tcPr>
          <w:p w14:paraId="7A5034F7" w14:textId="77777777" w:rsidR="00901490" w:rsidRPr="0038469E" w:rsidRDefault="00901490" w:rsidP="0090149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38469E">
              <w:rPr>
                <w:rFonts w:ascii="Times New Roman"/>
                <w:sz w:val="24"/>
                <w:szCs w:val="24"/>
              </w:rPr>
              <w:t>A high attrition rate, with some professionals failing to complete the baseline questionnaires</w:t>
            </w:r>
          </w:p>
          <w:p w14:paraId="5C054BB8" w14:textId="720CCE14" w:rsidR="00634AE7" w:rsidRDefault="00901490" w:rsidP="00901490">
            <w:pPr>
              <w:pStyle w:val="TableParagraph"/>
              <w:rPr>
                <w:rFonts w:ascii="Times New Roman"/>
                <w:sz w:val="16"/>
              </w:rPr>
            </w:pPr>
            <w:r w:rsidRPr="0038469E">
              <w:rPr>
                <w:rFonts w:ascii="Times New Roman"/>
                <w:sz w:val="24"/>
                <w:szCs w:val="24"/>
              </w:rPr>
              <w:t>No formative evaluation activities were complete because of resource and time limitations</w:t>
            </w:r>
          </w:p>
        </w:tc>
        <w:tc>
          <w:tcPr>
            <w:tcW w:w="652" w:type="pct"/>
          </w:tcPr>
          <w:p w14:paraId="5236BDAA" w14:textId="6E55190A" w:rsidR="00634AE7" w:rsidRDefault="00901490" w:rsidP="00634AE7">
            <w:pPr>
              <w:pStyle w:val="TableParagraph"/>
              <w:rPr>
                <w:rFonts w:ascii="Times New Roman"/>
                <w:sz w:val="16"/>
              </w:rPr>
            </w:pPr>
            <w:r w:rsidRPr="0038469E">
              <w:rPr>
                <w:rFonts w:ascii="Times New Roman"/>
                <w:sz w:val="24"/>
                <w:szCs w:val="24"/>
              </w:rPr>
              <w:t>Level I; good quality</w:t>
            </w:r>
          </w:p>
        </w:tc>
      </w:tr>
    </w:tbl>
    <w:p w14:paraId="6C9D3331" w14:textId="77777777" w:rsidR="00901490" w:rsidRDefault="00901490" w:rsidP="008E4416">
      <w:pPr>
        <w:tabs>
          <w:tab w:val="left" w:pos="0"/>
        </w:tabs>
        <w:sectPr w:rsidR="00901490" w:rsidSect="00901490">
          <w:pgSz w:w="15840" w:h="12240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71017BEA" w14:textId="22840087" w:rsidR="00E030FD" w:rsidRDefault="00C12A4F" w:rsidP="00C12A4F">
      <w:pPr>
        <w:tabs>
          <w:tab w:val="left" w:pos="0"/>
        </w:tabs>
        <w:jc w:val="center"/>
        <w:rPr>
          <w:b/>
          <w:bCs/>
        </w:rPr>
      </w:pPr>
      <w:r>
        <w:rPr>
          <w:b/>
          <w:bCs/>
        </w:rPr>
        <w:lastRenderedPageBreak/>
        <w:t>Reference</w:t>
      </w:r>
    </w:p>
    <w:p w14:paraId="3D14EF91" w14:textId="7D63ADD0" w:rsidR="00C12A4F" w:rsidRPr="00766B31" w:rsidRDefault="00766B31" w:rsidP="00766B31">
      <w:pPr>
        <w:tabs>
          <w:tab w:val="left" w:pos="0"/>
        </w:tabs>
        <w:ind w:left="720" w:hanging="720"/>
        <w:rPr>
          <w:rFonts w:cs="Times New Roman"/>
          <w:b/>
          <w:bCs/>
          <w:szCs w:val="24"/>
        </w:rPr>
      </w:pPr>
      <w:proofErr w:type="spellStart"/>
      <w:r w:rsidRPr="00766B31">
        <w:rPr>
          <w:rFonts w:cs="Times New Roman"/>
          <w:color w:val="212121"/>
          <w:szCs w:val="24"/>
          <w:shd w:val="clear" w:color="auto" w:fill="FFFFFF"/>
        </w:rPr>
        <w:t>Eiroa-Orosa</w:t>
      </w:r>
      <w:proofErr w:type="spellEnd"/>
      <w:r w:rsidRPr="00766B31">
        <w:rPr>
          <w:rFonts w:cs="Times New Roman"/>
          <w:color w:val="212121"/>
          <w:szCs w:val="24"/>
          <w:shd w:val="clear" w:color="auto" w:fill="FFFFFF"/>
        </w:rPr>
        <w:t xml:space="preserve">, F. J., </w:t>
      </w:r>
      <w:proofErr w:type="spellStart"/>
      <w:r w:rsidRPr="00766B31">
        <w:rPr>
          <w:rFonts w:cs="Times New Roman"/>
          <w:color w:val="212121"/>
          <w:szCs w:val="24"/>
          <w:shd w:val="clear" w:color="auto" w:fill="FFFFFF"/>
        </w:rPr>
        <w:t>Lomascolo</w:t>
      </w:r>
      <w:proofErr w:type="spellEnd"/>
      <w:r w:rsidRPr="00766B31">
        <w:rPr>
          <w:rFonts w:cs="Times New Roman"/>
          <w:color w:val="212121"/>
          <w:szCs w:val="24"/>
          <w:shd w:val="clear" w:color="auto" w:fill="FFFFFF"/>
        </w:rPr>
        <w:t xml:space="preserve">, M., &amp; </w:t>
      </w:r>
      <w:proofErr w:type="spellStart"/>
      <w:r w:rsidRPr="00766B31">
        <w:rPr>
          <w:rFonts w:cs="Times New Roman"/>
          <w:color w:val="212121"/>
          <w:szCs w:val="24"/>
          <w:shd w:val="clear" w:color="auto" w:fill="FFFFFF"/>
        </w:rPr>
        <w:t>Tosas</w:t>
      </w:r>
      <w:proofErr w:type="spellEnd"/>
      <w:r w:rsidRPr="00766B31">
        <w:rPr>
          <w:rFonts w:cs="Times New Roman"/>
          <w:color w:val="212121"/>
          <w:szCs w:val="24"/>
          <w:shd w:val="clear" w:color="auto" w:fill="FFFFFF"/>
        </w:rPr>
        <w:t xml:space="preserve">-Fernández, A. (2021). Efficacy of an Intervention to Reduce Stigma Beliefs and Attitudes among Primary Care and Mental Health Professionals: Two Cluster </w:t>
      </w:r>
      <w:proofErr w:type="spellStart"/>
      <w:r w:rsidRPr="00766B31">
        <w:rPr>
          <w:rFonts w:cs="Times New Roman"/>
          <w:color w:val="212121"/>
          <w:szCs w:val="24"/>
          <w:shd w:val="clear" w:color="auto" w:fill="FFFFFF"/>
        </w:rPr>
        <w:t>Randomised</w:t>
      </w:r>
      <w:proofErr w:type="spellEnd"/>
      <w:r w:rsidRPr="00766B31">
        <w:rPr>
          <w:rFonts w:cs="Times New Roman"/>
          <w:color w:val="212121"/>
          <w:szCs w:val="24"/>
          <w:shd w:val="clear" w:color="auto" w:fill="FFFFFF"/>
        </w:rPr>
        <w:t>-Controlled Trials. </w:t>
      </w:r>
      <w:r w:rsidRPr="00766B31">
        <w:rPr>
          <w:rFonts w:cs="Times New Roman"/>
          <w:i/>
          <w:iCs/>
          <w:color w:val="212121"/>
          <w:szCs w:val="24"/>
          <w:shd w:val="clear" w:color="auto" w:fill="FFFFFF"/>
        </w:rPr>
        <w:t xml:space="preserve">International </w:t>
      </w:r>
      <w:r>
        <w:rPr>
          <w:rFonts w:cs="Times New Roman"/>
          <w:i/>
          <w:iCs/>
          <w:color w:val="212121"/>
          <w:szCs w:val="24"/>
          <w:shd w:val="clear" w:color="auto" w:fill="FFFFFF"/>
        </w:rPr>
        <w:t>J</w:t>
      </w:r>
      <w:r w:rsidRPr="00766B31">
        <w:rPr>
          <w:rFonts w:cs="Times New Roman"/>
          <w:i/>
          <w:iCs/>
          <w:color w:val="212121"/>
          <w:szCs w:val="24"/>
          <w:shd w:val="clear" w:color="auto" w:fill="FFFFFF"/>
        </w:rPr>
        <w:t xml:space="preserve">ournal of </w:t>
      </w:r>
      <w:r>
        <w:rPr>
          <w:rFonts w:cs="Times New Roman"/>
          <w:i/>
          <w:iCs/>
          <w:color w:val="212121"/>
          <w:szCs w:val="24"/>
          <w:shd w:val="clear" w:color="auto" w:fill="FFFFFF"/>
        </w:rPr>
        <w:t>E</w:t>
      </w:r>
      <w:r w:rsidRPr="00766B31">
        <w:rPr>
          <w:rFonts w:cs="Times New Roman"/>
          <w:i/>
          <w:iCs/>
          <w:color w:val="212121"/>
          <w:szCs w:val="24"/>
          <w:shd w:val="clear" w:color="auto" w:fill="FFFFFF"/>
        </w:rPr>
        <w:t xml:space="preserve">nvironmental </w:t>
      </w:r>
      <w:r>
        <w:rPr>
          <w:rFonts w:cs="Times New Roman"/>
          <w:i/>
          <w:iCs/>
          <w:color w:val="212121"/>
          <w:szCs w:val="24"/>
          <w:shd w:val="clear" w:color="auto" w:fill="FFFFFF"/>
        </w:rPr>
        <w:t>R</w:t>
      </w:r>
      <w:r w:rsidRPr="00766B31">
        <w:rPr>
          <w:rFonts w:cs="Times New Roman"/>
          <w:i/>
          <w:iCs/>
          <w:color w:val="212121"/>
          <w:szCs w:val="24"/>
          <w:shd w:val="clear" w:color="auto" w:fill="FFFFFF"/>
        </w:rPr>
        <w:t xml:space="preserve">esearch and </w:t>
      </w:r>
      <w:r>
        <w:rPr>
          <w:rFonts w:cs="Times New Roman"/>
          <w:i/>
          <w:iCs/>
          <w:color w:val="212121"/>
          <w:szCs w:val="24"/>
          <w:shd w:val="clear" w:color="auto" w:fill="FFFFFF"/>
        </w:rPr>
        <w:t>P</w:t>
      </w:r>
      <w:r w:rsidRPr="00766B31">
        <w:rPr>
          <w:rFonts w:cs="Times New Roman"/>
          <w:i/>
          <w:iCs/>
          <w:color w:val="212121"/>
          <w:szCs w:val="24"/>
          <w:shd w:val="clear" w:color="auto" w:fill="FFFFFF"/>
        </w:rPr>
        <w:t xml:space="preserve">ublic </w:t>
      </w:r>
      <w:r>
        <w:rPr>
          <w:rFonts w:cs="Times New Roman"/>
          <w:i/>
          <w:iCs/>
          <w:color w:val="212121"/>
          <w:szCs w:val="24"/>
          <w:shd w:val="clear" w:color="auto" w:fill="FFFFFF"/>
        </w:rPr>
        <w:t>H</w:t>
      </w:r>
      <w:r w:rsidRPr="00766B31">
        <w:rPr>
          <w:rFonts w:cs="Times New Roman"/>
          <w:i/>
          <w:iCs/>
          <w:color w:val="212121"/>
          <w:szCs w:val="24"/>
          <w:shd w:val="clear" w:color="auto" w:fill="FFFFFF"/>
        </w:rPr>
        <w:t>ealth</w:t>
      </w:r>
      <w:r w:rsidRPr="00766B31">
        <w:rPr>
          <w:rFonts w:cs="Times New Roman"/>
          <w:color w:val="212121"/>
          <w:szCs w:val="24"/>
          <w:shd w:val="clear" w:color="auto" w:fill="FFFFFF"/>
        </w:rPr>
        <w:t>, </w:t>
      </w:r>
      <w:r w:rsidRPr="00766B31">
        <w:rPr>
          <w:rFonts w:cs="Times New Roman"/>
          <w:i/>
          <w:iCs/>
          <w:color w:val="212121"/>
          <w:szCs w:val="24"/>
          <w:shd w:val="clear" w:color="auto" w:fill="FFFFFF"/>
        </w:rPr>
        <w:t>18</w:t>
      </w:r>
      <w:r w:rsidRPr="00766B31">
        <w:rPr>
          <w:rFonts w:cs="Times New Roman"/>
          <w:color w:val="212121"/>
          <w:szCs w:val="24"/>
          <w:shd w:val="clear" w:color="auto" w:fill="FFFFFF"/>
        </w:rPr>
        <w:t xml:space="preserve">(3), 1214. </w:t>
      </w:r>
      <w:hyperlink r:id="rId8" w:history="1">
        <w:r w:rsidRPr="00766B31">
          <w:rPr>
            <w:rStyle w:val="Hyperlink"/>
            <w:rFonts w:cs="Times New Roman"/>
            <w:szCs w:val="24"/>
            <w:shd w:val="clear" w:color="auto" w:fill="FFFFFF"/>
          </w:rPr>
          <w:t>https://doi.org/10.3390/ijerph18031214</w:t>
        </w:r>
      </w:hyperlink>
      <w:r w:rsidRPr="00766B31">
        <w:rPr>
          <w:rFonts w:cs="Times New Roman"/>
          <w:color w:val="212121"/>
          <w:szCs w:val="24"/>
          <w:shd w:val="clear" w:color="auto" w:fill="FFFFFF"/>
        </w:rPr>
        <w:t xml:space="preserve"> </w:t>
      </w:r>
    </w:p>
    <w:sectPr w:rsidR="00C12A4F" w:rsidRPr="00766B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0D8CC" w14:textId="77777777" w:rsidR="00FD03D6" w:rsidRDefault="00FD03D6" w:rsidP="00CE6705">
      <w:pPr>
        <w:spacing w:line="240" w:lineRule="auto"/>
      </w:pPr>
      <w:r>
        <w:separator/>
      </w:r>
    </w:p>
  </w:endnote>
  <w:endnote w:type="continuationSeparator" w:id="0">
    <w:p w14:paraId="3E88559C" w14:textId="77777777" w:rsidR="00FD03D6" w:rsidRDefault="00FD03D6" w:rsidP="00CE67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94E1F" w14:textId="77777777" w:rsidR="00FD03D6" w:rsidRDefault="00FD03D6" w:rsidP="00CE6705">
      <w:pPr>
        <w:spacing w:line="240" w:lineRule="auto"/>
      </w:pPr>
      <w:r>
        <w:separator/>
      </w:r>
    </w:p>
  </w:footnote>
  <w:footnote w:type="continuationSeparator" w:id="0">
    <w:p w14:paraId="5384015B" w14:textId="77777777" w:rsidR="00FD03D6" w:rsidRDefault="00FD03D6" w:rsidP="00CE67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2B0F3" w14:textId="462A543E" w:rsidR="00CE6705" w:rsidRDefault="00CE6705">
    <w:pPr>
      <w:pStyle w:val="Header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670F5"/>
    <w:multiLevelType w:val="hybridMultilevel"/>
    <w:tmpl w:val="581C8842"/>
    <w:lvl w:ilvl="0" w:tplc="B6C2A2B2">
      <w:numFmt w:val="bullet"/>
      <w:lvlText w:val="❑"/>
      <w:lvlJc w:val="left"/>
      <w:pPr>
        <w:ind w:left="1063" w:hanging="166"/>
      </w:pPr>
      <w:rPr>
        <w:rFonts w:ascii="Arial Unicode MS" w:eastAsia="Arial Unicode MS" w:hAnsi="Arial Unicode MS" w:cs="Arial Unicode MS" w:hint="default"/>
        <w:color w:val="231F20"/>
        <w:w w:val="93"/>
        <w:sz w:val="16"/>
        <w:szCs w:val="16"/>
      </w:rPr>
    </w:lvl>
    <w:lvl w:ilvl="1" w:tplc="2FC4BADC">
      <w:numFmt w:val="bullet"/>
      <w:lvlText w:val="•"/>
      <w:lvlJc w:val="left"/>
      <w:pPr>
        <w:ind w:left="1096" w:hanging="166"/>
      </w:pPr>
      <w:rPr>
        <w:rFonts w:hint="default"/>
      </w:rPr>
    </w:lvl>
    <w:lvl w:ilvl="2" w:tplc="068EC1BA">
      <w:numFmt w:val="bullet"/>
      <w:lvlText w:val="•"/>
      <w:lvlJc w:val="left"/>
      <w:pPr>
        <w:ind w:left="1132" w:hanging="166"/>
      </w:pPr>
      <w:rPr>
        <w:rFonts w:hint="default"/>
      </w:rPr>
    </w:lvl>
    <w:lvl w:ilvl="3" w:tplc="7C08CF82">
      <w:numFmt w:val="bullet"/>
      <w:lvlText w:val="•"/>
      <w:lvlJc w:val="left"/>
      <w:pPr>
        <w:ind w:left="1169" w:hanging="166"/>
      </w:pPr>
      <w:rPr>
        <w:rFonts w:hint="default"/>
      </w:rPr>
    </w:lvl>
    <w:lvl w:ilvl="4" w:tplc="533EE5FE">
      <w:numFmt w:val="bullet"/>
      <w:lvlText w:val="•"/>
      <w:lvlJc w:val="left"/>
      <w:pPr>
        <w:ind w:left="1205" w:hanging="166"/>
      </w:pPr>
      <w:rPr>
        <w:rFonts w:hint="default"/>
      </w:rPr>
    </w:lvl>
    <w:lvl w:ilvl="5" w:tplc="C46AC9F8">
      <w:numFmt w:val="bullet"/>
      <w:lvlText w:val="•"/>
      <w:lvlJc w:val="left"/>
      <w:pPr>
        <w:ind w:left="1242" w:hanging="166"/>
      </w:pPr>
      <w:rPr>
        <w:rFonts w:hint="default"/>
      </w:rPr>
    </w:lvl>
    <w:lvl w:ilvl="6" w:tplc="C55600FA">
      <w:numFmt w:val="bullet"/>
      <w:lvlText w:val="•"/>
      <w:lvlJc w:val="left"/>
      <w:pPr>
        <w:ind w:left="1278" w:hanging="166"/>
      </w:pPr>
      <w:rPr>
        <w:rFonts w:hint="default"/>
      </w:rPr>
    </w:lvl>
    <w:lvl w:ilvl="7" w:tplc="BB8A4426">
      <w:numFmt w:val="bullet"/>
      <w:lvlText w:val="•"/>
      <w:lvlJc w:val="left"/>
      <w:pPr>
        <w:ind w:left="1314" w:hanging="166"/>
      </w:pPr>
      <w:rPr>
        <w:rFonts w:hint="default"/>
      </w:rPr>
    </w:lvl>
    <w:lvl w:ilvl="8" w:tplc="F118C998">
      <w:numFmt w:val="bullet"/>
      <w:lvlText w:val="•"/>
      <w:lvlJc w:val="left"/>
      <w:pPr>
        <w:ind w:left="1351" w:hanging="166"/>
      </w:pPr>
      <w:rPr>
        <w:rFonts w:hint="default"/>
      </w:rPr>
    </w:lvl>
  </w:abstractNum>
  <w:abstractNum w:abstractNumId="1" w15:restartNumberingAfterBreak="0">
    <w:nsid w:val="729A4E10"/>
    <w:multiLevelType w:val="hybridMultilevel"/>
    <w:tmpl w:val="9AD458C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215560">
    <w:abstractNumId w:val="0"/>
  </w:num>
  <w:num w:numId="2" w16cid:durableId="2086567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E18"/>
    <w:rsid w:val="000661DA"/>
    <w:rsid w:val="000B0A49"/>
    <w:rsid w:val="00101A08"/>
    <w:rsid w:val="00137817"/>
    <w:rsid w:val="00186C2D"/>
    <w:rsid w:val="00315BEF"/>
    <w:rsid w:val="00330B5A"/>
    <w:rsid w:val="00392BE9"/>
    <w:rsid w:val="003D00AA"/>
    <w:rsid w:val="00407E18"/>
    <w:rsid w:val="0042364D"/>
    <w:rsid w:val="00460904"/>
    <w:rsid w:val="005C5898"/>
    <w:rsid w:val="005F0E09"/>
    <w:rsid w:val="006059DE"/>
    <w:rsid w:val="00634AE7"/>
    <w:rsid w:val="006472FB"/>
    <w:rsid w:val="00647370"/>
    <w:rsid w:val="0066206B"/>
    <w:rsid w:val="00673AEE"/>
    <w:rsid w:val="006D3F73"/>
    <w:rsid w:val="00724029"/>
    <w:rsid w:val="00732BEF"/>
    <w:rsid w:val="00766B31"/>
    <w:rsid w:val="007921A3"/>
    <w:rsid w:val="008E4416"/>
    <w:rsid w:val="00901490"/>
    <w:rsid w:val="00924D48"/>
    <w:rsid w:val="009263B8"/>
    <w:rsid w:val="00965706"/>
    <w:rsid w:val="009B4CA5"/>
    <w:rsid w:val="00A114C3"/>
    <w:rsid w:val="00A86441"/>
    <w:rsid w:val="00B05864"/>
    <w:rsid w:val="00B10CFD"/>
    <w:rsid w:val="00C12A4F"/>
    <w:rsid w:val="00C47A85"/>
    <w:rsid w:val="00C8014F"/>
    <w:rsid w:val="00C92F08"/>
    <w:rsid w:val="00CB55A8"/>
    <w:rsid w:val="00CE6705"/>
    <w:rsid w:val="00D63192"/>
    <w:rsid w:val="00D96E6F"/>
    <w:rsid w:val="00DC714A"/>
    <w:rsid w:val="00E030FD"/>
    <w:rsid w:val="00E05996"/>
    <w:rsid w:val="00E121DD"/>
    <w:rsid w:val="00E24931"/>
    <w:rsid w:val="00FC7492"/>
    <w:rsid w:val="00FD03D6"/>
    <w:rsid w:val="00FE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69A39"/>
  <w15:chartTrackingRefBased/>
  <w15:docId w15:val="{8836E2E1-2863-4894-96F6-904CCD464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7E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7E1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E670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6705"/>
  </w:style>
  <w:style w:type="paragraph" w:styleId="Footer">
    <w:name w:val="footer"/>
    <w:basedOn w:val="Normal"/>
    <w:link w:val="FooterChar"/>
    <w:uiPriority w:val="99"/>
    <w:unhideWhenUsed/>
    <w:rsid w:val="00CE670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705"/>
  </w:style>
  <w:style w:type="paragraph" w:customStyle="1" w:styleId="TableParagraph">
    <w:name w:val="Table Paragraph"/>
    <w:basedOn w:val="Normal"/>
    <w:uiPriority w:val="1"/>
    <w:qFormat/>
    <w:rsid w:val="00E030FD"/>
    <w:pPr>
      <w:widowControl w:val="0"/>
      <w:autoSpaceDE w:val="0"/>
      <w:autoSpaceDN w:val="0"/>
      <w:spacing w:line="240" w:lineRule="auto"/>
    </w:pPr>
    <w:rPr>
      <w:rFonts w:ascii="Arial Narrow" w:eastAsia="Arial Narrow" w:hAnsi="Arial Narrow" w:cs="Arial Narro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ijerph18031214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5</cp:revision>
  <dcterms:created xsi:type="dcterms:W3CDTF">2023-03-22T05:50:00Z</dcterms:created>
  <dcterms:modified xsi:type="dcterms:W3CDTF">2023-03-22T07:47:00Z</dcterms:modified>
</cp:coreProperties>
</file>