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5F14" w14:textId="77777777" w:rsidR="00330BB2" w:rsidRDefault="00330BB2" w:rsidP="00B077C6">
      <w:pPr>
        <w:jc w:val="center"/>
        <w:rPr>
          <w:b/>
          <w:bCs/>
        </w:rPr>
      </w:pPr>
    </w:p>
    <w:p w14:paraId="6F0CFFE8" w14:textId="77777777" w:rsidR="00330BB2" w:rsidRDefault="00330BB2" w:rsidP="00B077C6">
      <w:pPr>
        <w:jc w:val="center"/>
        <w:rPr>
          <w:b/>
          <w:bCs/>
        </w:rPr>
      </w:pPr>
    </w:p>
    <w:p w14:paraId="1D424F36" w14:textId="77777777" w:rsidR="00330BB2" w:rsidRDefault="00330BB2" w:rsidP="00B077C6">
      <w:pPr>
        <w:jc w:val="center"/>
        <w:rPr>
          <w:b/>
          <w:bCs/>
        </w:rPr>
      </w:pPr>
    </w:p>
    <w:p w14:paraId="6642CEF7" w14:textId="77777777" w:rsidR="00330BB2" w:rsidRDefault="00330BB2" w:rsidP="00B077C6">
      <w:pPr>
        <w:jc w:val="center"/>
        <w:rPr>
          <w:b/>
          <w:bCs/>
        </w:rPr>
      </w:pPr>
    </w:p>
    <w:p w14:paraId="363AE44D" w14:textId="77777777" w:rsidR="00330BB2" w:rsidRDefault="00330BB2" w:rsidP="00B077C6">
      <w:pPr>
        <w:jc w:val="center"/>
        <w:rPr>
          <w:b/>
          <w:bCs/>
        </w:rPr>
      </w:pPr>
    </w:p>
    <w:p w14:paraId="3A203132" w14:textId="77777777" w:rsidR="00330BB2" w:rsidRDefault="00330BB2" w:rsidP="00B077C6">
      <w:pPr>
        <w:jc w:val="center"/>
        <w:rPr>
          <w:b/>
          <w:bCs/>
        </w:rPr>
      </w:pPr>
    </w:p>
    <w:p w14:paraId="6B595B87" w14:textId="77777777" w:rsidR="00330BB2" w:rsidRDefault="00330BB2" w:rsidP="00B077C6">
      <w:pPr>
        <w:jc w:val="center"/>
        <w:rPr>
          <w:b/>
          <w:bCs/>
        </w:rPr>
      </w:pPr>
    </w:p>
    <w:p w14:paraId="0784FD6A" w14:textId="77777777" w:rsidR="00330BB2" w:rsidRDefault="00330BB2" w:rsidP="00B077C6">
      <w:pPr>
        <w:jc w:val="center"/>
        <w:rPr>
          <w:b/>
          <w:bCs/>
        </w:rPr>
      </w:pPr>
    </w:p>
    <w:p w14:paraId="0CF1AF32" w14:textId="77777777" w:rsidR="00330BB2" w:rsidRDefault="00330BB2" w:rsidP="00B077C6">
      <w:pPr>
        <w:jc w:val="center"/>
        <w:rPr>
          <w:b/>
          <w:bCs/>
        </w:rPr>
      </w:pPr>
    </w:p>
    <w:p w14:paraId="19B3B962" w14:textId="77777777" w:rsidR="00330BB2" w:rsidRDefault="00330BB2" w:rsidP="00B077C6">
      <w:pPr>
        <w:jc w:val="center"/>
        <w:rPr>
          <w:b/>
          <w:bCs/>
        </w:rPr>
      </w:pPr>
    </w:p>
    <w:p w14:paraId="69F2E299" w14:textId="77777777" w:rsidR="00330BB2" w:rsidRDefault="00330BB2" w:rsidP="00B077C6">
      <w:pPr>
        <w:jc w:val="center"/>
        <w:rPr>
          <w:b/>
          <w:bCs/>
        </w:rPr>
      </w:pPr>
    </w:p>
    <w:p w14:paraId="695E2DED" w14:textId="77777777" w:rsidR="00330BB2" w:rsidRDefault="00330BB2" w:rsidP="00B077C6">
      <w:pPr>
        <w:jc w:val="center"/>
        <w:rPr>
          <w:b/>
          <w:bCs/>
        </w:rPr>
      </w:pPr>
    </w:p>
    <w:p w14:paraId="7F813DEF" w14:textId="77777777" w:rsidR="00330BB2" w:rsidRDefault="00330BB2" w:rsidP="00B077C6">
      <w:pPr>
        <w:jc w:val="center"/>
        <w:rPr>
          <w:b/>
          <w:bCs/>
        </w:rPr>
      </w:pPr>
    </w:p>
    <w:p w14:paraId="64809093" w14:textId="5D14BC1B" w:rsidR="00B077C6" w:rsidRDefault="00330BB2" w:rsidP="00B077C6">
      <w:pPr>
        <w:jc w:val="center"/>
        <w:rPr>
          <w:b/>
          <w:bCs/>
        </w:rPr>
      </w:pPr>
      <w:r>
        <w:rPr>
          <w:b/>
          <w:bCs/>
        </w:rPr>
        <w:t>Mental Health Stigma</w:t>
      </w:r>
    </w:p>
    <w:p w14:paraId="6A997600" w14:textId="1C50D36A" w:rsidR="00330BB2" w:rsidRDefault="00330BB2" w:rsidP="00B077C6">
      <w:pPr>
        <w:jc w:val="center"/>
        <w:rPr>
          <w:b/>
          <w:bCs/>
        </w:rPr>
      </w:pPr>
    </w:p>
    <w:p w14:paraId="63CB552F" w14:textId="3CF00A87" w:rsidR="00330BB2" w:rsidRDefault="00330BB2" w:rsidP="00B077C6">
      <w:pPr>
        <w:jc w:val="center"/>
      </w:pPr>
      <w:r>
        <w:t>Name</w:t>
      </w:r>
    </w:p>
    <w:p w14:paraId="0E91C4FB" w14:textId="41945082" w:rsidR="00330BB2" w:rsidRDefault="00330BB2" w:rsidP="00B077C6">
      <w:pPr>
        <w:jc w:val="center"/>
      </w:pPr>
      <w:r>
        <w:t>School Affiliation</w:t>
      </w:r>
    </w:p>
    <w:p w14:paraId="71E169A2" w14:textId="32E10563" w:rsidR="00330BB2" w:rsidRDefault="00330BB2" w:rsidP="00B077C6">
      <w:pPr>
        <w:jc w:val="center"/>
      </w:pPr>
      <w:r>
        <w:t>Course</w:t>
      </w:r>
    </w:p>
    <w:p w14:paraId="7D9870D7" w14:textId="21F4CF3B" w:rsidR="00330BB2" w:rsidRDefault="00330BB2" w:rsidP="00B077C6">
      <w:pPr>
        <w:jc w:val="center"/>
      </w:pPr>
      <w:r>
        <w:t>Instructor</w:t>
      </w:r>
    </w:p>
    <w:p w14:paraId="47BEDE34" w14:textId="1D90FED9" w:rsidR="00330BB2" w:rsidRDefault="00330BB2" w:rsidP="00B077C6">
      <w:pPr>
        <w:jc w:val="center"/>
      </w:pPr>
      <w:r>
        <w:t>Date Due</w:t>
      </w:r>
    </w:p>
    <w:p w14:paraId="5E8D99CE" w14:textId="79525EE8" w:rsidR="00330BB2" w:rsidRDefault="00330BB2">
      <w:r>
        <w:br w:type="page"/>
      </w:r>
    </w:p>
    <w:p w14:paraId="680FD9C6" w14:textId="4322658F" w:rsidR="00330BB2" w:rsidRPr="00330BB2" w:rsidRDefault="00330BB2" w:rsidP="00B077C6">
      <w:pPr>
        <w:jc w:val="center"/>
      </w:pPr>
      <w:r>
        <w:rPr>
          <w:b/>
          <w:bCs/>
        </w:rPr>
        <w:lastRenderedPageBreak/>
        <w:t>Mental Health Stigma</w:t>
      </w:r>
    </w:p>
    <w:p w14:paraId="4F0726E8" w14:textId="046CFF08" w:rsidR="00924D48" w:rsidRDefault="00F03BC6">
      <w:r>
        <w:tab/>
        <w:t xml:space="preserve">Mental health disorders remain a leading cause of burden of disease globally. </w:t>
      </w:r>
      <w:r w:rsidR="009B6D77">
        <w:t>As of</w:t>
      </w:r>
      <w:r w:rsidR="007E599A">
        <w:t xml:space="preserve"> 2020, depressive and anxiety disorders were identified as the leading </w:t>
      </w:r>
      <w:r w:rsidR="00747CB4">
        <w:t>mental health problems contributing</w:t>
      </w:r>
      <w:r w:rsidR="007E599A">
        <w:t xml:space="preserve"> to the global health burden </w:t>
      </w:r>
      <w:r w:rsidR="00747CB4">
        <w:t>(</w:t>
      </w:r>
      <w:r w:rsidR="00EA7325">
        <w:t>COVID-19 Mental Disorders Collaborators, 2021</w:t>
      </w:r>
      <w:r w:rsidR="00747CB4">
        <w:t xml:space="preserve">). </w:t>
      </w:r>
      <w:r w:rsidR="009B6D77">
        <w:t xml:space="preserve">According to the World Health Organization (WHO, 2022), </w:t>
      </w:r>
      <w:r w:rsidR="006E3F4A">
        <w:t xml:space="preserve">approximately 970 million people across the globe live with a mental health problem, with depressive and anxiety disorders remaining the most common. </w:t>
      </w:r>
      <w:r w:rsidR="00AD2071">
        <w:t>In America, approximately 25% of the population experience a mental health problem during their lifetime (</w:t>
      </w:r>
      <w:r w:rsidR="00427229">
        <w:t>Smith &amp; Applegate, 2019</w:t>
      </w:r>
      <w:r w:rsidR="00AD2071">
        <w:t xml:space="preserve">). </w:t>
      </w:r>
      <w:r w:rsidR="00747CB4">
        <w:t>Mental health disorders</w:t>
      </w:r>
      <w:r w:rsidR="00156B05">
        <w:t xml:space="preserve"> are associated with high morbidity, mortality, and disability rates.</w:t>
      </w:r>
      <w:r w:rsidR="00C50409">
        <w:t xml:space="preserve"> T</w:t>
      </w:r>
      <w:r w:rsidR="00447646">
        <w:t xml:space="preserve">he number of disability-adjusted </w:t>
      </w:r>
      <w:r w:rsidR="00EA43E1">
        <w:t>life-years (DALYS) associated with mental illness increased from 80.8 million to 125.3 million between 1990 and 2019</w:t>
      </w:r>
      <w:r w:rsidR="00C50409">
        <w:t xml:space="preserve"> (GBD 2019 Mental </w:t>
      </w:r>
      <w:r w:rsidR="0023380E">
        <w:t>Disorders Collaborators, 2022)</w:t>
      </w:r>
      <w:r w:rsidR="00EA43E1">
        <w:t>.</w:t>
      </w:r>
      <w:r w:rsidR="00B01EE4">
        <w:t xml:space="preserve"> </w:t>
      </w:r>
      <w:r w:rsidR="00C30EA0">
        <w:t>T</w:t>
      </w:r>
      <w:r w:rsidR="00B01EE4">
        <w:t>he prevalence of mental health problems such as depression and anxiety</w:t>
      </w:r>
      <w:r w:rsidR="00C30EA0">
        <w:t xml:space="preserve"> significantly increased with the emergence of the COVID-19 pandemic (</w:t>
      </w:r>
      <w:proofErr w:type="spellStart"/>
      <w:r w:rsidR="006806F5">
        <w:t>Chekole</w:t>
      </w:r>
      <w:proofErr w:type="spellEnd"/>
      <w:r w:rsidR="006806F5">
        <w:t xml:space="preserve"> &amp; Abate, 2021; </w:t>
      </w:r>
      <w:r w:rsidR="0023380E">
        <w:t xml:space="preserve">COVID-19 Mental Disorders Collaborators, </w:t>
      </w:r>
      <w:r w:rsidR="006806F5">
        <w:t>2021</w:t>
      </w:r>
      <w:r w:rsidR="003D4F55">
        <w:t>)</w:t>
      </w:r>
      <w:r w:rsidR="00C30EA0">
        <w:t>.</w:t>
      </w:r>
      <w:r w:rsidR="003D4F55">
        <w:t xml:space="preserve"> </w:t>
      </w:r>
      <w:r w:rsidR="00555E9D">
        <w:t>At the same time, stigma towards mental health problems is a well-documented problem affecting health-seeking behavior, adherence to treatment, and engagement in care (</w:t>
      </w:r>
      <w:proofErr w:type="spellStart"/>
      <w:r w:rsidR="006806F5">
        <w:t>Stangl</w:t>
      </w:r>
      <w:proofErr w:type="spellEnd"/>
      <w:r w:rsidR="006806F5">
        <w:t xml:space="preserve"> et al., 2019</w:t>
      </w:r>
      <w:r w:rsidR="00555E9D">
        <w:t xml:space="preserve">). </w:t>
      </w:r>
      <w:r w:rsidR="007E20B6">
        <w:t>F</w:t>
      </w:r>
      <w:r w:rsidR="00DD685B">
        <w:t xml:space="preserve">actors such as labeling, stereotyping, prejudice, low-self-esteem, discrimination, marginalization, and ignorance influence the existence of stigmatizing attitudes </w:t>
      </w:r>
      <w:r w:rsidR="007E20B6">
        <w:t xml:space="preserve">and beliefs </w:t>
      </w:r>
      <w:r w:rsidR="00DD685B">
        <w:t>towards mental health problems (</w:t>
      </w:r>
      <w:proofErr w:type="spellStart"/>
      <w:r w:rsidR="00D26E10">
        <w:t>Subu</w:t>
      </w:r>
      <w:proofErr w:type="spellEnd"/>
      <w:r w:rsidR="00D26E10">
        <w:t xml:space="preserve"> et al., 2021</w:t>
      </w:r>
      <w:r w:rsidR="00DD685B">
        <w:t>).</w:t>
      </w:r>
      <w:r w:rsidR="007E20B6">
        <w:t xml:space="preserve"> Professional stigma is of particular interest because it </w:t>
      </w:r>
      <w:r w:rsidR="00F1458C">
        <w:t>affects the care and treatment afforded to individuals with mental illness. Addressing stigmatizing beliefs and attitudes among health care professionals is cruc</w:t>
      </w:r>
      <w:r w:rsidR="00E67CA7">
        <w:t>ial in ensuring optimal</w:t>
      </w:r>
      <w:r w:rsidR="001B59A9">
        <w:t xml:space="preserve"> care based on dignity and respect. </w:t>
      </w:r>
    </w:p>
    <w:p w14:paraId="11BAE280" w14:textId="1691D439" w:rsidR="002F0B56" w:rsidRDefault="002F0B56" w:rsidP="002F0B56">
      <w:pPr>
        <w:jc w:val="center"/>
        <w:rPr>
          <w:b/>
          <w:bCs/>
        </w:rPr>
      </w:pPr>
      <w:r>
        <w:rPr>
          <w:b/>
          <w:bCs/>
        </w:rPr>
        <w:t>Litera</w:t>
      </w:r>
      <w:r w:rsidR="002930F2">
        <w:rPr>
          <w:b/>
          <w:bCs/>
        </w:rPr>
        <w:t>ry</w:t>
      </w:r>
      <w:r>
        <w:rPr>
          <w:b/>
          <w:bCs/>
        </w:rPr>
        <w:t xml:space="preserve"> Search Strategy</w:t>
      </w:r>
    </w:p>
    <w:p w14:paraId="4409D773" w14:textId="427597C0" w:rsidR="002F0B56" w:rsidRDefault="002F0B56" w:rsidP="002F0B56">
      <w:r>
        <w:lastRenderedPageBreak/>
        <w:tab/>
      </w:r>
      <w:r w:rsidR="00D015CB">
        <w:t>The literature search process started with a refinement of the focus of the revi</w:t>
      </w:r>
      <w:r w:rsidR="002930F2">
        <w:t xml:space="preserve">ew to identify relevant articles. The search process was conducted from MEDLINE, PsycInfo, </w:t>
      </w:r>
      <w:proofErr w:type="spellStart"/>
      <w:r w:rsidR="002930F2">
        <w:t>PsycArticles</w:t>
      </w:r>
      <w:proofErr w:type="spellEnd"/>
      <w:r w:rsidR="002930F2">
        <w:t>, and CINAHL</w:t>
      </w:r>
      <w:r w:rsidR="00CD58A4">
        <w:t xml:space="preserve">, with EBSCO Host enabling concurrent access to the databases. After identifying key terms, Boolean operators “AND” and “OR” were used to expand or restrict the search. </w:t>
      </w:r>
      <w:r w:rsidR="00A62D30">
        <w:t>The key terms included “mental health illness,” “mental health disorders,” “mental health problems,” “stigma,” “professional stigma,”</w:t>
      </w:r>
      <w:r w:rsidR="00321E9B">
        <w:t xml:space="preserve"> and “interventions.” The key terms were combined using the Boolean operators to form searchable strings. </w:t>
      </w:r>
      <w:r w:rsidR="00695D35">
        <w:t xml:space="preserve">The search process was limited to articles published in English, peer review status, availability of a full-text document, and publication dates between 2019 and 2023. </w:t>
      </w:r>
      <w:r w:rsidR="00E4002A">
        <w:t xml:space="preserve">The selection of articles published in English was based on the lack of translation resources. In addition, selecting articles published in the past five years would offer the most current evidence supporting the needs of the review. </w:t>
      </w:r>
      <w:r w:rsidR="0022228F">
        <w:t xml:space="preserve">Of the articles identified, assessment for eligibility and full-text analysis focused on quantitative research only. One quantitative study was selected for appraisal. </w:t>
      </w:r>
    </w:p>
    <w:p w14:paraId="344B7173" w14:textId="2D39AAA0" w:rsidR="0022228F" w:rsidRDefault="00824DFE" w:rsidP="00824DFE">
      <w:pPr>
        <w:jc w:val="center"/>
        <w:rPr>
          <w:b/>
          <w:bCs/>
        </w:rPr>
      </w:pPr>
      <w:r w:rsidRPr="00824DFE">
        <w:rPr>
          <w:b/>
          <w:bCs/>
        </w:rPr>
        <w:t xml:space="preserve">Article </w:t>
      </w:r>
      <w:r>
        <w:rPr>
          <w:b/>
          <w:bCs/>
        </w:rPr>
        <w:t>Critique using John Hopkins Appraisal Tool</w:t>
      </w:r>
    </w:p>
    <w:p w14:paraId="185381AA" w14:textId="4A697610" w:rsidR="00824DFE" w:rsidRDefault="00824DFE" w:rsidP="00824DFE">
      <w:pPr>
        <w:rPr>
          <w:szCs w:val="24"/>
        </w:rPr>
      </w:pPr>
      <w:r>
        <w:tab/>
      </w:r>
      <w:r w:rsidR="000B2A03">
        <w:t xml:space="preserve">In </w:t>
      </w:r>
      <w:proofErr w:type="spellStart"/>
      <w:r w:rsidR="000B2A03" w:rsidRPr="0038469E">
        <w:rPr>
          <w:szCs w:val="24"/>
        </w:rPr>
        <w:t>Eiroa-Orosa</w:t>
      </w:r>
      <w:proofErr w:type="spellEnd"/>
      <w:r w:rsidR="000B2A03">
        <w:rPr>
          <w:szCs w:val="24"/>
        </w:rPr>
        <w:t xml:space="preserve"> et al. (2021)</w:t>
      </w:r>
      <w:r w:rsidR="000B2A03">
        <w:rPr>
          <w:szCs w:val="24"/>
        </w:rPr>
        <w:t xml:space="preserve">, the researchers sought to design, implement, and evaluate the effects of two awareness-raising interventions tailored to reduce stigmatizing beliefs and attitudes towards individuals with mental health problems among primary care and mental health professionals. </w:t>
      </w:r>
      <w:r w:rsidR="00BA6E65">
        <w:rPr>
          <w:szCs w:val="24"/>
        </w:rPr>
        <w:t>The study involved two prospective double-blind cluster randomized controlled trials targeting these professionals. The method involved a co-creation process</w:t>
      </w:r>
      <w:r w:rsidR="002457FB">
        <w:rPr>
          <w:szCs w:val="24"/>
        </w:rPr>
        <w:t xml:space="preserve"> involving representatives of main PC and MH providers in the area. The awareness-raising interventions were developed using the Targeted, Local, Credible, Continuous Contact (TLC3) principles</w:t>
      </w:r>
      <w:r w:rsidR="002A284F">
        <w:rPr>
          <w:szCs w:val="24"/>
        </w:rPr>
        <w:t xml:space="preserve"> and included both theoretical and practical content. Specifically, it involved four parts comprising of a 4-hour training workshop, 4-hour self-diagnosis workshop, </w:t>
      </w:r>
      <w:r w:rsidR="002D1ED2">
        <w:rPr>
          <w:szCs w:val="24"/>
        </w:rPr>
        <w:t xml:space="preserve">a self-organized activity, and a </w:t>
      </w:r>
      <w:r w:rsidR="002D1ED2">
        <w:rPr>
          <w:szCs w:val="24"/>
        </w:rPr>
        <w:lastRenderedPageBreak/>
        <w:t xml:space="preserve">follow-up session. </w:t>
      </w:r>
      <w:r w:rsidR="005B4DE0">
        <w:rPr>
          <w:szCs w:val="24"/>
        </w:rPr>
        <w:t>The sample was drawn from six PC and MH centers in Catalonia</w:t>
      </w:r>
      <w:r w:rsidR="00CB48EA">
        <w:rPr>
          <w:szCs w:val="24"/>
        </w:rPr>
        <w:t xml:space="preserve">. Of the six MH centers, two adult MH centers, two substance abuse centers, and two children and adolescent MH centers </w:t>
      </w:r>
      <w:r w:rsidR="009058D2">
        <w:rPr>
          <w:szCs w:val="24"/>
        </w:rPr>
        <w:t xml:space="preserve">were involved. Overall, a sample of 371 professionals was selected, with 185 drawn from PC </w:t>
      </w:r>
      <w:r w:rsidR="00905965">
        <w:rPr>
          <w:szCs w:val="24"/>
        </w:rPr>
        <w:t>settings and 186 from MH settings. The participants included administrative officers, nurses, general practitioners, odontologists, social workers, psychiatrists, and psychologists.</w:t>
      </w:r>
      <w:r w:rsidR="005858A8">
        <w:rPr>
          <w:szCs w:val="24"/>
        </w:rPr>
        <w:t xml:space="preserve"> </w:t>
      </w:r>
      <w:r w:rsidR="006A4EE5">
        <w:rPr>
          <w:szCs w:val="24"/>
        </w:rPr>
        <w:t xml:space="preserve">The PC sample included </w:t>
      </w:r>
      <w:r w:rsidR="005858A8">
        <w:rPr>
          <w:szCs w:val="24"/>
        </w:rPr>
        <w:t xml:space="preserve">70.6% </w:t>
      </w:r>
      <w:r w:rsidR="007471AD">
        <w:rPr>
          <w:szCs w:val="24"/>
        </w:rPr>
        <w:t xml:space="preserve">female and 29.4% male </w:t>
      </w:r>
      <w:r w:rsidR="006A4EE5">
        <w:rPr>
          <w:szCs w:val="24"/>
        </w:rPr>
        <w:t>participants with a mean age of 44.34 years</w:t>
      </w:r>
      <w:r w:rsidR="00913F30">
        <w:rPr>
          <w:szCs w:val="24"/>
        </w:rPr>
        <w:t>, while the MH sample included 78.3%</w:t>
      </w:r>
      <w:r w:rsidR="00E3558C">
        <w:rPr>
          <w:szCs w:val="24"/>
        </w:rPr>
        <w:t xml:space="preserve"> females and 21.7 male participants with a mean age of 41.56 years.</w:t>
      </w:r>
    </w:p>
    <w:p w14:paraId="51C0AB66" w14:textId="470D148D" w:rsidR="00670ADE" w:rsidRDefault="00B93B11" w:rsidP="00670ADE">
      <w:pPr>
        <w:tabs>
          <w:tab w:val="left" w:pos="0"/>
        </w:tabs>
        <w:rPr>
          <w:szCs w:val="24"/>
        </w:rPr>
      </w:pPr>
      <w:r>
        <w:rPr>
          <w:szCs w:val="24"/>
        </w:rPr>
        <w:tab/>
        <w:t xml:space="preserve">The primary outcome measure in the study </w:t>
      </w:r>
      <w:r>
        <w:rPr>
          <w:szCs w:val="24"/>
        </w:rPr>
        <w:t>(stigmatizing beliefs and attitudes) was measured using the Opening Minds Stigma Scale for Health Care Providers (OMS-HC) in PC settings and the Beliefs and Attitudes towards Mental Health Service (BAHMS) users’ rights scale in MH settings.</w:t>
      </w:r>
      <w:r>
        <w:rPr>
          <w:szCs w:val="24"/>
        </w:rPr>
        <w:t xml:space="preserve"> Analysis found significant differences </w:t>
      </w:r>
      <w:r w:rsidR="0072456C">
        <w:rPr>
          <w:szCs w:val="24"/>
        </w:rPr>
        <w:t>in</w:t>
      </w:r>
      <w:r w:rsidR="0072456C">
        <w:rPr>
          <w:szCs w:val="24"/>
        </w:rPr>
        <w:t xml:space="preserve"> the</w:t>
      </w:r>
      <w:r w:rsidR="0072456C">
        <w:rPr>
          <w:szCs w:val="24"/>
        </w:rPr>
        <w:t xml:space="preserve"> total OMS-HC scores </w:t>
      </w:r>
      <w:r w:rsidR="0072456C">
        <w:rPr>
          <w:szCs w:val="24"/>
        </w:rPr>
        <w:t xml:space="preserve">between the intervention group (IG) and control group (CG) </w:t>
      </w:r>
      <w:r w:rsidR="0072456C">
        <w:rPr>
          <w:szCs w:val="24"/>
        </w:rPr>
        <w:t>at baseline</w:t>
      </w:r>
      <w:r w:rsidR="0072456C">
        <w:rPr>
          <w:szCs w:val="24"/>
        </w:rPr>
        <w:t xml:space="preserve"> </w:t>
      </w:r>
      <w:r w:rsidR="0072456C">
        <w:rPr>
          <w:szCs w:val="24"/>
        </w:rPr>
        <w:t>(</w:t>
      </w:r>
      <w:r w:rsidR="0072456C">
        <w:rPr>
          <w:i/>
          <w:iCs/>
          <w:szCs w:val="24"/>
        </w:rPr>
        <w:t>t</w:t>
      </w:r>
      <w:r w:rsidR="0072456C">
        <w:rPr>
          <w:szCs w:val="24"/>
        </w:rPr>
        <w:t xml:space="preserve"> = 2.138, </w:t>
      </w:r>
      <w:r w:rsidR="0072456C">
        <w:rPr>
          <w:i/>
          <w:iCs/>
          <w:szCs w:val="24"/>
        </w:rPr>
        <w:t xml:space="preserve">p </w:t>
      </w:r>
      <w:r w:rsidR="0072456C">
        <w:rPr>
          <w:szCs w:val="24"/>
        </w:rPr>
        <w:t>&lt;0.05)</w:t>
      </w:r>
      <w:r w:rsidR="0072456C">
        <w:rPr>
          <w:szCs w:val="24"/>
        </w:rPr>
        <w:t xml:space="preserve">. </w:t>
      </w:r>
      <w:r w:rsidR="00670ADE">
        <w:rPr>
          <w:szCs w:val="24"/>
        </w:rPr>
        <w:t xml:space="preserve">Repeated measures </w:t>
      </w:r>
      <w:r w:rsidR="00670ADE">
        <w:rPr>
          <w:i/>
          <w:iCs/>
          <w:szCs w:val="24"/>
        </w:rPr>
        <w:t>t</w:t>
      </w:r>
      <w:r w:rsidR="00670ADE">
        <w:rPr>
          <w:szCs w:val="24"/>
        </w:rPr>
        <w:t>-tests showed a significant decrease in IG’s OMS-HC total score (</w:t>
      </w:r>
      <w:r w:rsidR="00670ADE">
        <w:rPr>
          <w:i/>
          <w:iCs/>
          <w:szCs w:val="24"/>
        </w:rPr>
        <w:t>t</w:t>
      </w:r>
      <w:r w:rsidR="00670ADE">
        <w:rPr>
          <w:szCs w:val="24"/>
        </w:rPr>
        <w:t xml:space="preserve"> = 2.813, </w:t>
      </w:r>
      <w:r w:rsidR="00670ADE">
        <w:rPr>
          <w:i/>
          <w:iCs/>
          <w:szCs w:val="24"/>
        </w:rPr>
        <w:t xml:space="preserve">p </w:t>
      </w:r>
      <w:r w:rsidR="00670ADE">
        <w:rPr>
          <w:szCs w:val="24"/>
        </w:rPr>
        <w:t>&lt;0.01) but not in the CG at 1-month follow-up.</w:t>
      </w:r>
      <w:r w:rsidR="00506B3F">
        <w:rPr>
          <w:szCs w:val="24"/>
        </w:rPr>
        <w:t xml:space="preserve"> However, analysis revealed statistically significant decrease in OMS-HC disclosure between the observation periods, indicating</w:t>
      </w:r>
      <w:r w:rsidR="00670ADE">
        <w:rPr>
          <w:szCs w:val="24"/>
        </w:rPr>
        <w:t xml:space="preserve"> </w:t>
      </w:r>
      <w:r w:rsidR="00506B3F">
        <w:rPr>
          <w:szCs w:val="24"/>
        </w:rPr>
        <w:t xml:space="preserve">that </w:t>
      </w:r>
      <w:r w:rsidR="009E36D5">
        <w:rPr>
          <w:szCs w:val="24"/>
        </w:rPr>
        <w:t xml:space="preserve">stigmatizing beliefs and attitudes returned by the 3-month follow-up. </w:t>
      </w:r>
      <w:r w:rsidR="00E0168F">
        <w:rPr>
          <w:szCs w:val="24"/>
        </w:rPr>
        <w:t xml:space="preserve">In the MH settings, </w:t>
      </w:r>
      <w:r w:rsidR="00670ADE">
        <w:rPr>
          <w:szCs w:val="24"/>
        </w:rPr>
        <w:t xml:space="preserve">the IG and CG had statistically significant differences in the total BAHMS score (z = -2.392, </w:t>
      </w:r>
      <w:r w:rsidR="00670ADE">
        <w:rPr>
          <w:i/>
          <w:iCs/>
          <w:szCs w:val="24"/>
        </w:rPr>
        <w:t>p</w:t>
      </w:r>
      <w:r w:rsidR="00670ADE">
        <w:rPr>
          <w:szCs w:val="24"/>
        </w:rPr>
        <w:t xml:space="preserve"> &lt;0.05) and the beliefs subscale (z = -2.419, </w:t>
      </w:r>
      <w:r w:rsidR="00670ADE">
        <w:rPr>
          <w:i/>
          <w:iCs/>
          <w:szCs w:val="24"/>
        </w:rPr>
        <w:t xml:space="preserve">p </w:t>
      </w:r>
      <w:r w:rsidR="00670ADE">
        <w:rPr>
          <w:szCs w:val="24"/>
        </w:rPr>
        <w:t>&lt; 0.05)</w:t>
      </w:r>
      <w:r w:rsidR="00E0168F">
        <w:rPr>
          <w:szCs w:val="24"/>
        </w:rPr>
        <w:t xml:space="preserve"> at 1-month follow-up but not the 3-month follow-up</w:t>
      </w:r>
      <w:r w:rsidR="00670ADE">
        <w:rPr>
          <w:szCs w:val="24"/>
        </w:rPr>
        <w:t xml:space="preserve">. Following the intervention, the IG </w:t>
      </w:r>
      <w:r w:rsidR="00670ADE">
        <w:rPr>
          <w:szCs w:val="24"/>
        </w:rPr>
        <w:t>portrayed a deceasing trend</w:t>
      </w:r>
      <w:r w:rsidR="00670ADE">
        <w:rPr>
          <w:szCs w:val="24"/>
        </w:rPr>
        <w:t xml:space="preserve"> total BAHMS score </w:t>
      </w:r>
      <w:r w:rsidR="00CD65C1">
        <w:rPr>
          <w:szCs w:val="24"/>
        </w:rPr>
        <w:t xml:space="preserve">but the change was not statistically significant </w:t>
      </w:r>
      <w:r w:rsidR="00670ADE">
        <w:rPr>
          <w:szCs w:val="24"/>
        </w:rPr>
        <w:t>(</w:t>
      </w:r>
      <w:r w:rsidR="00670ADE">
        <w:rPr>
          <w:i/>
          <w:iCs/>
          <w:szCs w:val="24"/>
        </w:rPr>
        <w:t>t</w:t>
      </w:r>
      <w:r w:rsidR="00670ADE">
        <w:rPr>
          <w:szCs w:val="24"/>
        </w:rPr>
        <w:t xml:space="preserve"> 1.708, </w:t>
      </w:r>
      <w:r w:rsidR="00670ADE">
        <w:rPr>
          <w:i/>
          <w:iCs/>
          <w:szCs w:val="24"/>
        </w:rPr>
        <w:t xml:space="preserve">p </w:t>
      </w:r>
      <w:r w:rsidR="00670ADE">
        <w:rPr>
          <w:szCs w:val="24"/>
        </w:rPr>
        <w:t>0.091)</w:t>
      </w:r>
      <w:r w:rsidR="00CD65C1">
        <w:rPr>
          <w:szCs w:val="24"/>
        </w:rPr>
        <w:t>. However</w:t>
      </w:r>
      <w:r w:rsidR="00670ADE">
        <w:rPr>
          <w:szCs w:val="24"/>
        </w:rPr>
        <w:t>,</w:t>
      </w:r>
      <w:r w:rsidR="00CD65C1">
        <w:rPr>
          <w:szCs w:val="24"/>
        </w:rPr>
        <w:t xml:space="preserve"> the study found</w:t>
      </w:r>
      <w:r w:rsidR="00670ADE">
        <w:rPr>
          <w:szCs w:val="24"/>
        </w:rPr>
        <w:t xml:space="preserve"> statistically significant decrease </w:t>
      </w:r>
      <w:r w:rsidR="00CD65C1">
        <w:rPr>
          <w:szCs w:val="24"/>
        </w:rPr>
        <w:t>i</w:t>
      </w:r>
      <w:r w:rsidR="00670ADE">
        <w:rPr>
          <w:szCs w:val="24"/>
        </w:rPr>
        <w:t>n the coercion subscale (</w:t>
      </w:r>
      <w:r w:rsidR="00670ADE">
        <w:rPr>
          <w:i/>
          <w:iCs/>
          <w:szCs w:val="24"/>
        </w:rPr>
        <w:t>t =</w:t>
      </w:r>
      <w:r w:rsidR="00670ADE">
        <w:rPr>
          <w:szCs w:val="24"/>
        </w:rPr>
        <w:t xml:space="preserve"> 3.056,</w:t>
      </w:r>
      <w:r w:rsidR="00670ADE">
        <w:rPr>
          <w:i/>
          <w:iCs/>
          <w:szCs w:val="24"/>
        </w:rPr>
        <w:t xml:space="preserve"> p </w:t>
      </w:r>
      <w:r w:rsidR="00670ADE">
        <w:rPr>
          <w:szCs w:val="24"/>
        </w:rPr>
        <w:t xml:space="preserve">&lt; 0.05). The findings show that </w:t>
      </w:r>
      <w:r w:rsidR="00670ADE">
        <w:rPr>
          <w:szCs w:val="24"/>
        </w:rPr>
        <w:lastRenderedPageBreak/>
        <w:t xml:space="preserve">awareness-raising interventions on healthcare professionals can significantly reduce their stigmatizing beliefs and attitudes towards patients with mental illness. </w:t>
      </w:r>
    </w:p>
    <w:p w14:paraId="4AE31EDA" w14:textId="2BBE9E06" w:rsidR="00B93B11" w:rsidRDefault="001C0F10" w:rsidP="00824DFE">
      <w:pPr>
        <w:rPr>
          <w:szCs w:val="24"/>
        </w:rPr>
      </w:pPr>
      <w:r>
        <w:tab/>
      </w:r>
      <w:r w:rsidR="00D069F1">
        <w:t xml:space="preserve">Blinding and randomization are crucial strengths that reduced the likelihood of bias. </w:t>
      </w:r>
      <w:r w:rsidR="00B94AC4">
        <w:t xml:space="preserve">Additionally, using data collection tools with excellent psychometric properties and specific to the contexts enhanced the quality of the study. </w:t>
      </w:r>
      <w:r>
        <w:t xml:space="preserve">While the study offers crucial insights into the role of awareness-raising interventions in reducing professional stigma, it has several limitations that affect the validity, generalization, and application of the findings. For example, the study had a </w:t>
      </w:r>
      <w:r w:rsidR="006D4978">
        <w:t xml:space="preserve">high attrition rate; </w:t>
      </w:r>
      <w:r w:rsidR="006D4978">
        <w:rPr>
          <w:szCs w:val="24"/>
        </w:rPr>
        <w:t>o</w:t>
      </w:r>
      <w:r w:rsidR="006D4978">
        <w:rPr>
          <w:szCs w:val="24"/>
        </w:rPr>
        <w:t>nly 54.5% and 3% (PC participants) and 85% and 32% (MH participants) completed 1-month and 3-month follow-ups, respectively</w:t>
      </w:r>
      <w:r w:rsidR="006D4978">
        <w:rPr>
          <w:szCs w:val="24"/>
        </w:rPr>
        <w:t xml:space="preserve">. </w:t>
      </w:r>
      <w:r w:rsidR="005376AF">
        <w:rPr>
          <w:szCs w:val="24"/>
        </w:rPr>
        <w:t>Consequently, this could have affected the reliability and application of the findings, considering the high response rate among PC professionals with higher initial effects identi</w:t>
      </w:r>
      <w:r w:rsidR="0052079F">
        <w:rPr>
          <w:szCs w:val="24"/>
        </w:rPr>
        <w:t xml:space="preserve">fied. </w:t>
      </w:r>
      <w:r w:rsidR="00C45950">
        <w:rPr>
          <w:szCs w:val="24"/>
        </w:rPr>
        <w:t xml:space="preserve">Despite the limitations, the study </w:t>
      </w:r>
      <w:r w:rsidR="00C45950">
        <w:rPr>
          <w:szCs w:val="24"/>
        </w:rPr>
        <w:t xml:space="preserve">provides quality evidence (Level I, </w:t>
      </w:r>
      <w:r w:rsidR="006F1722">
        <w:rPr>
          <w:szCs w:val="24"/>
        </w:rPr>
        <w:t>G</w:t>
      </w:r>
      <w:r w:rsidR="00C45950">
        <w:rPr>
          <w:szCs w:val="24"/>
        </w:rPr>
        <w:t>rade B) based on the methodology used. It offers consistent results with adequate control, definitive conclusions, and consistent recommendations for future research and practice.</w:t>
      </w:r>
      <w:r w:rsidR="0012356D">
        <w:rPr>
          <w:szCs w:val="24"/>
        </w:rPr>
        <w:t xml:space="preserve"> </w:t>
      </w:r>
      <w:r w:rsidR="00362C2F">
        <w:rPr>
          <w:szCs w:val="24"/>
        </w:rPr>
        <w:t>In addition, the short follow-up period coupled with the attrition rate limit an understanding of the long-term implications of the intervention</w:t>
      </w:r>
      <w:r w:rsidR="000C7824">
        <w:rPr>
          <w:szCs w:val="24"/>
        </w:rPr>
        <w:t xml:space="preserve">. </w:t>
      </w:r>
      <w:r w:rsidR="0012356D">
        <w:rPr>
          <w:szCs w:val="24"/>
        </w:rPr>
        <w:t>Appendix 1 proves a summary of the article criti</w:t>
      </w:r>
      <w:r w:rsidR="002738FC">
        <w:rPr>
          <w:szCs w:val="24"/>
        </w:rPr>
        <w:t>que.</w:t>
      </w:r>
    </w:p>
    <w:p w14:paraId="226A5432" w14:textId="502A2B80" w:rsidR="0012356D" w:rsidRDefault="0012356D" w:rsidP="0012356D">
      <w:pPr>
        <w:jc w:val="center"/>
        <w:rPr>
          <w:b/>
          <w:bCs/>
          <w:szCs w:val="24"/>
        </w:rPr>
      </w:pPr>
      <w:r>
        <w:rPr>
          <w:b/>
          <w:bCs/>
          <w:szCs w:val="24"/>
        </w:rPr>
        <w:t>Summary</w:t>
      </w:r>
    </w:p>
    <w:p w14:paraId="7CD3ADA1" w14:textId="3EA88DAB" w:rsidR="0012356D" w:rsidRDefault="00E92D75" w:rsidP="0012356D">
      <w:r>
        <w:tab/>
        <w:t xml:space="preserve">From the findings, it can be inferred that awareness-raising programs have significant </w:t>
      </w:r>
      <w:r w:rsidR="00CD2744">
        <w:t xml:space="preserve">and positive </w:t>
      </w:r>
      <w:r>
        <w:t>effect</w:t>
      </w:r>
      <w:r w:rsidR="00CD2744">
        <w:t>s</w:t>
      </w:r>
      <w:r>
        <w:t xml:space="preserve"> on</w:t>
      </w:r>
      <w:r w:rsidR="00911D1C">
        <w:t xml:space="preserve"> reducing professional stigma towards people with mental health problems. Promoting awareness can change health care professionals’ attitudes and beliefs, leading to increased advocacy for </w:t>
      </w:r>
      <w:r w:rsidR="001B2832">
        <w:t xml:space="preserve">the rights of individuals with mental health disorders. </w:t>
      </w:r>
      <w:r w:rsidR="006E3428">
        <w:t xml:space="preserve">With observations about changes in coercion, it can be argued that awareness-raising can discourage </w:t>
      </w:r>
      <w:r w:rsidR="003E7029">
        <w:t xml:space="preserve">practices that deny patients their rights. For instance, health care professionals </w:t>
      </w:r>
      <w:proofErr w:type="spellStart"/>
      <w:r w:rsidR="008B6E04">
        <w:t>cn</w:t>
      </w:r>
      <w:proofErr w:type="spellEnd"/>
      <w:r w:rsidR="008B6E04">
        <w:t xml:space="preserve"> advocate for reduced use of </w:t>
      </w:r>
      <w:r w:rsidR="008B6E04">
        <w:lastRenderedPageBreak/>
        <w:t xml:space="preserve">mechanical restraints and involuntary hospitalization, which are common practices that deny patients of their autonomy. Additionally, reducing stigmatizing beliefs and attitudes would ensure </w:t>
      </w:r>
      <w:r w:rsidR="001B2832">
        <w:t>timely</w:t>
      </w:r>
      <w:r w:rsidR="00886416">
        <w:t xml:space="preserve"> delivery of</w:t>
      </w:r>
      <w:r w:rsidR="001B2832">
        <w:t xml:space="preserve"> care and treatment in a respectful manner</w:t>
      </w:r>
      <w:r w:rsidR="00362C2F">
        <w:t>.</w:t>
      </w:r>
      <w:r w:rsidR="00886416">
        <w:t xml:space="preserve"> Although the study does not show the long-term effects of the intervention, it could be implemented effectively to address the problem of stigma towards mental illness. </w:t>
      </w:r>
      <w:r w:rsidR="00917BC6">
        <w:t xml:space="preserve">It provides a foundation for increasing health care professionals’ knowledge about mental health disorders and </w:t>
      </w:r>
      <w:r w:rsidR="00747673">
        <w:t xml:space="preserve">reducing the likelihood of fear, prejudice, and exclusion in care delivery. </w:t>
      </w:r>
      <w:r w:rsidR="00151982">
        <w:t xml:space="preserve">It would also lead to an inclusive society that promotes all individuals’ rights, especially in accessing optimal care. </w:t>
      </w:r>
    </w:p>
    <w:p w14:paraId="634FB907" w14:textId="1E3F8D9B" w:rsidR="00151982" w:rsidRDefault="00151982" w:rsidP="00151982">
      <w:pPr>
        <w:jc w:val="center"/>
        <w:rPr>
          <w:b/>
          <w:bCs/>
        </w:rPr>
      </w:pPr>
      <w:r>
        <w:rPr>
          <w:b/>
          <w:bCs/>
        </w:rPr>
        <w:t>Conclusion</w:t>
      </w:r>
    </w:p>
    <w:p w14:paraId="07283FBD" w14:textId="51F0462C" w:rsidR="00151982" w:rsidRDefault="00151982" w:rsidP="00151982">
      <w:pPr>
        <w:rPr>
          <w:szCs w:val="24"/>
        </w:rPr>
      </w:pPr>
      <w:r>
        <w:tab/>
        <w:t xml:space="preserve">Mental </w:t>
      </w:r>
      <w:r w:rsidR="00B94456">
        <w:t xml:space="preserve">illness remains an issue with global effects, considering that more than 970 people live with a mental health problem globally. Mental health disorders are associated with </w:t>
      </w:r>
      <w:r w:rsidR="00406E1B">
        <w:t xml:space="preserve">high morbidity, mortality, and disability, contributing significantly to the global burden of disease. However, stigmatizing beliefs and attitudes among health care professionals </w:t>
      </w:r>
      <w:r w:rsidR="00DE0A31">
        <w:t xml:space="preserve">affect patients’ health-seeking behaviors and timely delivery of care and treatments. </w:t>
      </w:r>
      <w:r w:rsidR="009F3C7C">
        <w:t>In the double-bling cluster randomized controlled trials, t</w:t>
      </w:r>
      <w:r w:rsidR="00DE0A31">
        <w:t>he</w:t>
      </w:r>
      <w:r w:rsidR="009F3C7C">
        <w:t xml:space="preserve"> appraised st</w:t>
      </w:r>
      <w:r w:rsidR="00DE0A31">
        <w:t xml:space="preserve">udy </w:t>
      </w:r>
      <w:r w:rsidR="009F3C7C">
        <w:t xml:space="preserve">determined the effects of </w:t>
      </w:r>
      <w:r w:rsidR="00DE0A31">
        <w:t>awareness-raising interventions on stigmatizing beliefs and attitudes among PC and MH professionals. Analysis s</w:t>
      </w:r>
      <w:r w:rsidR="00B43245">
        <w:t xml:space="preserve">hows significant changes in the participants’ beliefs and attitudes after participating in the interventions. </w:t>
      </w:r>
      <w:r w:rsidR="00385473">
        <w:t xml:space="preserve">The findings provide crucial insights about the effects of such interventions, albeit with only short-term effects being detected. Although the study has several limitations, it offers quality evidence </w:t>
      </w:r>
      <w:r w:rsidR="00A47319">
        <w:rPr>
          <w:szCs w:val="24"/>
        </w:rPr>
        <w:t xml:space="preserve">(Level I, grade B) based on the methodology used. It </w:t>
      </w:r>
      <w:r w:rsidR="00A47319">
        <w:rPr>
          <w:szCs w:val="24"/>
        </w:rPr>
        <w:t>provides</w:t>
      </w:r>
      <w:r w:rsidR="00A47319">
        <w:rPr>
          <w:szCs w:val="24"/>
        </w:rPr>
        <w:t xml:space="preserve"> consistent results</w:t>
      </w:r>
      <w:r w:rsidR="00A47319">
        <w:rPr>
          <w:szCs w:val="24"/>
        </w:rPr>
        <w:t>,</w:t>
      </w:r>
      <w:r w:rsidR="00A47319">
        <w:rPr>
          <w:szCs w:val="24"/>
        </w:rPr>
        <w:t xml:space="preserve"> with adequate control, definitive conclusions, and consistent recommendations for future research and practice.</w:t>
      </w:r>
      <w:r w:rsidR="00A47319">
        <w:rPr>
          <w:szCs w:val="24"/>
        </w:rPr>
        <w:t xml:space="preserve"> The findings reify the importance of improving health care professionals’ </w:t>
      </w:r>
      <w:r w:rsidR="00A47319">
        <w:rPr>
          <w:szCs w:val="24"/>
        </w:rPr>
        <w:lastRenderedPageBreak/>
        <w:t xml:space="preserve">knowledge and awareness of </w:t>
      </w:r>
      <w:r w:rsidR="005E526B">
        <w:rPr>
          <w:szCs w:val="24"/>
        </w:rPr>
        <w:t>stigma in mental health. With adequate sustainability measures, such interventions would be significantly valuable in addressing the practice problem.</w:t>
      </w:r>
    </w:p>
    <w:p w14:paraId="09C0EFA3" w14:textId="49B5F809" w:rsidR="005E526B" w:rsidRDefault="005E526B">
      <w:pPr>
        <w:rPr>
          <w:szCs w:val="24"/>
        </w:rPr>
      </w:pPr>
      <w:r>
        <w:rPr>
          <w:szCs w:val="24"/>
        </w:rPr>
        <w:br w:type="page"/>
      </w:r>
    </w:p>
    <w:p w14:paraId="64F95778" w14:textId="74F32B4E" w:rsidR="005E526B" w:rsidRDefault="005E526B" w:rsidP="005E526B">
      <w:pPr>
        <w:jc w:val="center"/>
      </w:pPr>
      <w:r w:rsidRPr="005E526B">
        <w:rPr>
          <w:b/>
          <w:bCs/>
        </w:rPr>
        <w:lastRenderedPageBreak/>
        <w:t>References</w:t>
      </w:r>
    </w:p>
    <w:p w14:paraId="1D65044A" w14:textId="77777777" w:rsidR="00B077C6" w:rsidRPr="00B077C6" w:rsidRDefault="00B077C6" w:rsidP="00EA7325">
      <w:pPr>
        <w:ind w:left="720" w:hanging="720"/>
        <w:rPr>
          <w:rFonts w:cs="Times New Roman"/>
        </w:rPr>
      </w:pPr>
      <w:proofErr w:type="spellStart"/>
      <w:r w:rsidRPr="00B077C6">
        <w:rPr>
          <w:rFonts w:cs="Times New Roman"/>
        </w:rPr>
        <w:t>Chekole</w:t>
      </w:r>
      <w:proofErr w:type="spellEnd"/>
      <w:r w:rsidRPr="00B077C6">
        <w:rPr>
          <w:rFonts w:cs="Times New Roman"/>
        </w:rPr>
        <w:t xml:space="preserve">, Y. A., &amp; Abate, S. M. (2021). Global prevalence and determinants of mental health disorders during the COVID-19 pandemic: A systematic review and meta-analysis. </w:t>
      </w:r>
      <w:r w:rsidRPr="00B077C6">
        <w:rPr>
          <w:rFonts w:cs="Times New Roman"/>
          <w:i/>
          <w:iCs/>
        </w:rPr>
        <w:t>Annals of Medicine and Surgery</w:t>
      </w:r>
      <w:r w:rsidRPr="00B077C6">
        <w:rPr>
          <w:rFonts w:cs="Times New Roman"/>
        </w:rPr>
        <w:t xml:space="preserve">, </w:t>
      </w:r>
      <w:r w:rsidRPr="00B077C6">
        <w:rPr>
          <w:rFonts w:cs="Times New Roman"/>
          <w:i/>
          <w:iCs/>
        </w:rPr>
        <w:t>68</w:t>
      </w:r>
      <w:r w:rsidRPr="00B077C6">
        <w:rPr>
          <w:rFonts w:cs="Times New Roman"/>
        </w:rPr>
        <w:t xml:space="preserve">. </w:t>
      </w:r>
      <w:hyperlink r:id="rId7" w:history="1">
        <w:r w:rsidRPr="00B077C6">
          <w:rPr>
            <w:rStyle w:val="Hyperlink"/>
            <w:rFonts w:cs="Times New Roman"/>
          </w:rPr>
          <w:t>https://doi.org/10.1016/j.amsu.2021.102634</w:t>
        </w:r>
      </w:hyperlink>
      <w:r w:rsidRPr="00B077C6">
        <w:rPr>
          <w:rFonts w:cs="Times New Roman"/>
        </w:rPr>
        <w:t xml:space="preserve"> </w:t>
      </w:r>
    </w:p>
    <w:p w14:paraId="47624C4C" w14:textId="79A152B9" w:rsidR="00B077C6" w:rsidRPr="00B077C6" w:rsidRDefault="00B077C6" w:rsidP="00EA7325">
      <w:pPr>
        <w:ind w:left="720" w:hanging="720"/>
        <w:rPr>
          <w:rFonts w:cs="Times New Roman"/>
          <w:color w:val="212121"/>
          <w:shd w:val="clear" w:color="auto" w:fill="FFFFFF"/>
        </w:rPr>
      </w:pPr>
      <w:r w:rsidRPr="00B077C6">
        <w:rPr>
          <w:rFonts w:cs="Times New Roman"/>
          <w:color w:val="212121"/>
          <w:shd w:val="clear" w:color="auto" w:fill="FFFFFF"/>
        </w:rPr>
        <w:t>COVID-19 Mental Disorders Collaborators (2021). Global prevalence and burden of depressive and anxiety disorders in 204 countries and territories in 2020 due to the COVID-19 pandemic. </w:t>
      </w:r>
      <w:r w:rsidRPr="00B077C6">
        <w:rPr>
          <w:rFonts w:cs="Times New Roman"/>
          <w:i/>
          <w:iCs/>
          <w:color w:val="212121"/>
          <w:shd w:val="clear" w:color="auto" w:fill="FFFFFF"/>
        </w:rPr>
        <w:t>Lancet (London, England)</w:t>
      </w:r>
      <w:r w:rsidRPr="00B077C6">
        <w:rPr>
          <w:rFonts w:cs="Times New Roman"/>
          <w:color w:val="212121"/>
          <w:shd w:val="clear" w:color="auto" w:fill="FFFFFF"/>
        </w:rPr>
        <w:t>, </w:t>
      </w:r>
      <w:r w:rsidRPr="00B077C6">
        <w:rPr>
          <w:rFonts w:cs="Times New Roman"/>
          <w:i/>
          <w:iCs/>
          <w:color w:val="212121"/>
          <w:shd w:val="clear" w:color="auto" w:fill="FFFFFF"/>
        </w:rPr>
        <w:t>398</w:t>
      </w:r>
      <w:r w:rsidRPr="00B077C6">
        <w:rPr>
          <w:rFonts w:cs="Times New Roman"/>
          <w:color w:val="212121"/>
          <w:shd w:val="clear" w:color="auto" w:fill="FFFFFF"/>
        </w:rPr>
        <w:t xml:space="preserve">(10312), 1700–1712. </w:t>
      </w:r>
      <w:hyperlink r:id="rId8" w:history="1">
        <w:r w:rsidRPr="00B077C6">
          <w:rPr>
            <w:rStyle w:val="Hyperlink"/>
            <w:rFonts w:cs="Times New Roman"/>
            <w:shd w:val="clear" w:color="auto" w:fill="FFFFFF"/>
          </w:rPr>
          <w:t>https://doi.org/10.1016/S0140-6736(21)02143-7</w:t>
        </w:r>
      </w:hyperlink>
      <w:r w:rsidRPr="00B077C6">
        <w:rPr>
          <w:rFonts w:cs="Times New Roman"/>
          <w:color w:val="212121"/>
          <w:shd w:val="clear" w:color="auto" w:fill="FFFFFF"/>
        </w:rPr>
        <w:t xml:space="preserve">  </w:t>
      </w:r>
    </w:p>
    <w:p w14:paraId="2115C90B" w14:textId="113BCD34" w:rsidR="00B077C6" w:rsidRPr="00B077C6" w:rsidRDefault="00B077C6" w:rsidP="00D26E10">
      <w:pPr>
        <w:tabs>
          <w:tab w:val="left" w:pos="0"/>
        </w:tabs>
        <w:ind w:left="720" w:hanging="720"/>
        <w:rPr>
          <w:rFonts w:cs="Times New Roman"/>
          <w:b/>
          <w:bCs/>
          <w:szCs w:val="24"/>
        </w:rPr>
      </w:pPr>
      <w:proofErr w:type="spellStart"/>
      <w:r w:rsidRPr="00B077C6">
        <w:rPr>
          <w:rFonts w:cs="Times New Roman"/>
          <w:color w:val="212121"/>
          <w:szCs w:val="24"/>
          <w:shd w:val="clear" w:color="auto" w:fill="FFFFFF"/>
        </w:rPr>
        <w:t>Eiroa-Orosa</w:t>
      </w:r>
      <w:proofErr w:type="spellEnd"/>
      <w:r w:rsidRPr="00B077C6">
        <w:rPr>
          <w:rFonts w:cs="Times New Roman"/>
          <w:color w:val="212121"/>
          <w:szCs w:val="24"/>
          <w:shd w:val="clear" w:color="auto" w:fill="FFFFFF"/>
        </w:rPr>
        <w:t xml:space="preserve">, F. J., </w:t>
      </w:r>
      <w:proofErr w:type="spellStart"/>
      <w:r w:rsidRPr="00B077C6">
        <w:rPr>
          <w:rFonts w:cs="Times New Roman"/>
          <w:color w:val="212121"/>
          <w:szCs w:val="24"/>
          <w:shd w:val="clear" w:color="auto" w:fill="FFFFFF"/>
        </w:rPr>
        <w:t>Lomascolo</w:t>
      </w:r>
      <w:proofErr w:type="spellEnd"/>
      <w:r w:rsidRPr="00B077C6">
        <w:rPr>
          <w:rFonts w:cs="Times New Roman"/>
          <w:color w:val="212121"/>
          <w:szCs w:val="24"/>
          <w:shd w:val="clear" w:color="auto" w:fill="FFFFFF"/>
        </w:rPr>
        <w:t xml:space="preserve">, M., &amp; </w:t>
      </w:r>
      <w:proofErr w:type="spellStart"/>
      <w:r w:rsidRPr="00B077C6">
        <w:rPr>
          <w:rFonts w:cs="Times New Roman"/>
          <w:color w:val="212121"/>
          <w:szCs w:val="24"/>
          <w:shd w:val="clear" w:color="auto" w:fill="FFFFFF"/>
        </w:rPr>
        <w:t>Tosas</w:t>
      </w:r>
      <w:proofErr w:type="spellEnd"/>
      <w:r w:rsidRPr="00B077C6">
        <w:rPr>
          <w:rFonts w:cs="Times New Roman"/>
          <w:color w:val="212121"/>
          <w:szCs w:val="24"/>
          <w:shd w:val="clear" w:color="auto" w:fill="FFFFFF"/>
        </w:rPr>
        <w:t xml:space="preserve">-Fernández, A. (2021). Efficacy of an Intervention to Reduce Stigma Beliefs and Attitudes among Primary Care and Mental Health Professionals: Two Cluster </w:t>
      </w:r>
      <w:proofErr w:type="spellStart"/>
      <w:r w:rsidRPr="00B077C6">
        <w:rPr>
          <w:rFonts w:cs="Times New Roman"/>
          <w:color w:val="212121"/>
          <w:szCs w:val="24"/>
          <w:shd w:val="clear" w:color="auto" w:fill="FFFFFF"/>
        </w:rPr>
        <w:t>Randomised</w:t>
      </w:r>
      <w:proofErr w:type="spellEnd"/>
      <w:r w:rsidRPr="00B077C6">
        <w:rPr>
          <w:rFonts w:cs="Times New Roman"/>
          <w:color w:val="212121"/>
          <w:szCs w:val="24"/>
          <w:shd w:val="clear" w:color="auto" w:fill="FFFFFF"/>
        </w:rPr>
        <w:t>-Controlled Trials. </w:t>
      </w:r>
      <w:r w:rsidRPr="00B077C6">
        <w:rPr>
          <w:rFonts w:cs="Times New Roman"/>
          <w:i/>
          <w:iCs/>
          <w:color w:val="212121"/>
          <w:szCs w:val="24"/>
          <w:shd w:val="clear" w:color="auto" w:fill="FFFFFF"/>
        </w:rPr>
        <w:t>International Journal of Environmental Research and Public Health</w:t>
      </w:r>
      <w:r w:rsidRPr="00B077C6">
        <w:rPr>
          <w:rFonts w:cs="Times New Roman"/>
          <w:color w:val="212121"/>
          <w:szCs w:val="24"/>
          <w:shd w:val="clear" w:color="auto" w:fill="FFFFFF"/>
        </w:rPr>
        <w:t>, </w:t>
      </w:r>
      <w:r w:rsidRPr="00B077C6">
        <w:rPr>
          <w:rFonts w:cs="Times New Roman"/>
          <w:i/>
          <w:iCs/>
          <w:color w:val="212121"/>
          <w:szCs w:val="24"/>
          <w:shd w:val="clear" w:color="auto" w:fill="FFFFFF"/>
        </w:rPr>
        <w:t>18</w:t>
      </w:r>
      <w:r w:rsidRPr="00B077C6">
        <w:rPr>
          <w:rFonts w:cs="Times New Roman"/>
          <w:color w:val="212121"/>
          <w:szCs w:val="24"/>
          <w:shd w:val="clear" w:color="auto" w:fill="FFFFFF"/>
        </w:rPr>
        <w:t xml:space="preserve">(3), 1214. </w:t>
      </w:r>
      <w:hyperlink r:id="rId9" w:history="1">
        <w:r w:rsidRPr="00FF7817">
          <w:rPr>
            <w:rStyle w:val="Hyperlink"/>
            <w:rFonts w:cs="Times New Roman"/>
            <w:szCs w:val="24"/>
            <w:shd w:val="clear" w:color="auto" w:fill="FFFFFF"/>
          </w:rPr>
          <w:t>https://doi.org/10.3390/ijerph18031214</w:t>
        </w:r>
      </w:hyperlink>
      <w:r w:rsidRPr="00B077C6">
        <w:rPr>
          <w:rFonts w:cs="Times New Roman"/>
          <w:color w:val="212121"/>
          <w:szCs w:val="24"/>
          <w:shd w:val="clear" w:color="auto" w:fill="FFFFFF"/>
        </w:rPr>
        <w:t xml:space="preserve"> </w:t>
      </w:r>
    </w:p>
    <w:p w14:paraId="5BCE5EC5" w14:textId="77777777" w:rsidR="00B077C6" w:rsidRPr="00B077C6" w:rsidRDefault="00B077C6" w:rsidP="00EA7325">
      <w:pPr>
        <w:ind w:left="720" w:hanging="720"/>
        <w:rPr>
          <w:rFonts w:cs="Times New Roman"/>
        </w:rPr>
      </w:pPr>
      <w:r w:rsidRPr="00B077C6">
        <w:rPr>
          <w:rFonts w:cs="Times New Roman"/>
        </w:rPr>
        <w:t xml:space="preserve">GBD 2019 Mental Disorders Collaborators. </w:t>
      </w:r>
      <w:r w:rsidRPr="00B077C6">
        <w:rPr>
          <w:rFonts w:cs="Times New Roman"/>
        </w:rPr>
        <w:t xml:space="preserve">(2022). Global, regional, and national burden of 12 mental disorders in 204 countries and territories, 1990–2019: A systematic analysis for the Global Burden of Disease Study 2019. </w:t>
      </w:r>
      <w:r w:rsidRPr="00B077C6">
        <w:rPr>
          <w:rFonts w:cs="Times New Roman"/>
          <w:i/>
          <w:iCs/>
        </w:rPr>
        <w:t>The Lancet Psychiatry</w:t>
      </w:r>
      <w:r w:rsidRPr="00B077C6">
        <w:rPr>
          <w:rFonts w:cs="Times New Roman"/>
        </w:rPr>
        <w:t xml:space="preserve">, </w:t>
      </w:r>
      <w:r w:rsidRPr="00B077C6">
        <w:rPr>
          <w:rFonts w:cs="Times New Roman"/>
          <w:i/>
          <w:iCs/>
        </w:rPr>
        <w:t>9</w:t>
      </w:r>
      <w:r w:rsidRPr="00B077C6">
        <w:rPr>
          <w:rFonts w:cs="Times New Roman"/>
        </w:rPr>
        <w:t xml:space="preserve">(2), 137-150. </w:t>
      </w:r>
      <w:hyperlink r:id="rId10" w:history="1">
        <w:r w:rsidRPr="00B077C6">
          <w:rPr>
            <w:rStyle w:val="Hyperlink"/>
            <w:rFonts w:cs="Times New Roman"/>
          </w:rPr>
          <w:t>https://doi.org/10.1016/S2215-0366(21)00395-3</w:t>
        </w:r>
      </w:hyperlink>
    </w:p>
    <w:p w14:paraId="1716991D" w14:textId="77777777" w:rsidR="00B077C6" w:rsidRPr="00B077C6" w:rsidRDefault="00B077C6" w:rsidP="00EA7325">
      <w:pPr>
        <w:ind w:left="720" w:hanging="720"/>
        <w:rPr>
          <w:rFonts w:cs="Times New Roman"/>
        </w:rPr>
      </w:pPr>
      <w:r w:rsidRPr="00B077C6">
        <w:rPr>
          <w:rFonts w:cs="Times New Roman"/>
        </w:rPr>
        <w:t>Smith, R. A., &amp; Applegate, A. (201</w:t>
      </w:r>
      <w:r w:rsidRPr="00B077C6">
        <w:rPr>
          <w:rFonts w:cs="Times New Roman"/>
        </w:rPr>
        <w:t>9</w:t>
      </w:r>
      <w:r w:rsidRPr="00B077C6">
        <w:rPr>
          <w:rFonts w:cs="Times New Roman"/>
        </w:rPr>
        <w:t xml:space="preserve">). Mental Health Stigma and Communication and Their Intersections with Education. </w:t>
      </w:r>
      <w:r w:rsidRPr="00B077C6">
        <w:rPr>
          <w:rFonts w:cs="Times New Roman"/>
          <w:i/>
          <w:iCs/>
        </w:rPr>
        <w:t>Communication education</w:t>
      </w:r>
      <w:r w:rsidRPr="00B077C6">
        <w:rPr>
          <w:rFonts w:cs="Times New Roman"/>
        </w:rPr>
        <w:t xml:space="preserve">, </w:t>
      </w:r>
      <w:r w:rsidRPr="00B077C6">
        <w:rPr>
          <w:rFonts w:cs="Times New Roman"/>
          <w:i/>
          <w:iCs/>
        </w:rPr>
        <w:t>67</w:t>
      </w:r>
      <w:r w:rsidRPr="00B077C6">
        <w:rPr>
          <w:rFonts w:cs="Times New Roman"/>
        </w:rPr>
        <w:t xml:space="preserve">(3), 382. </w:t>
      </w:r>
      <w:hyperlink r:id="rId11" w:history="1">
        <w:r w:rsidRPr="00B077C6">
          <w:rPr>
            <w:rStyle w:val="Hyperlink"/>
            <w:rFonts w:cs="Times New Roman"/>
          </w:rPr>
          <w:t>https://doi.org/10.1080/03634523.2018.1465988</w:t>
        </w:r>
      </w:hyperlink>
      <w:r w:rsidRPr="00B077C6">
        <w:rPr>
          <w:rFonts w:cs="Times New Roman"/>
        </w:rPr>
        <w:t xml:space="preserve"> </w:t>
      </w:r>
    </w:p>
    <w:p w14:paraId="58FCB670" w14:textId="77777777" w:rsidR="00B077C6" w:rsidRPr="00B077C6" w:rsidRDefault="00B077C6" w:rsidP="00EA7325">
      <w:pPr>
        <w:ind w:left="720" w:hanging="720"/>
        <w:rPr>
          <w:rFonts w:cs="Times New Roman"/>
        </w:rPr>
      </w:pPr>
      <w:proofErr w:type="spellStart"/>
      <w:r w:rsidRPr="00B077C6">
        <w:rPr>
          <w:rFonts w:cs="Times New Roman"/>
        </w:rPr>
        <w:t>Stangl</w:t>
      </w:r>
      <w:proofErr w:type="spellEnd"/>
      <w:r w:rsidRPr="00B077C6">
        <w:rPr>
          <w:rFonts w:cs="Times New Roman"/>
        </w:rPr>
        <w:t xml:space="preserve">, A. L., Earnshaw, V. A., </w:t>
      </w:r>
      <w:proofErr w:type="spellStart"/>
      <w:r w:rsidRPr="00B077C6">
        <w:rPr>
          <w:rFonts w:cs="Times New Roman"/>
        </w:rPr>
        <w:t>Logie</w:t>
      </w:r>
      <w:proofErr w:type="spellEnd"/>
      <w:r w:rsidRPr="00B077C6">
        <w:rPr>
          <w:rFonts w:cs="Times New Roman"/>
        </w:rPr>
        <w:t xml:space="preserve">, C. H., </w:t>
      </w:r>
      <w:proofErr w:type="spellStart"/>
      <w:r w:rsidRPr="00B077C6">
        <w:rPr>
          <w:rFonts w:cs="Times New Roman"/>
        </w:rPr>
        <w:t>Simbayi</w:t>
      </w:r>
      <w:proofErr w:type="spellEnd"/>
      <w:r w:rsidRPr="00B077C6">
        <w:rPr>
          <w:rFonts w:cs="Times New Roman"/>
        </w:rPr>
        <w:t xml:space="preserve">, L. C., Barré, I., &amp; Dovidio, J. F. (2019). The Health Stigma and Discrimination Framework: A global, crosscutting framework to </w:t>
      </w:r>
      <w:r w:rsidRPr="00B077C6">
        <w:rPr>
          <w:rFonts w:cs="Times New Roman"/>
        </w:rPr>
        <w:lastRenderedPageBreak/>
        <w:t xml:space="preserve">inform research, intervention development, and policy on health-related stigmas. </w:t>
      </w:r>
      <w:r w:rsidRPr="00B077C6">
        <w:rPr>
          <w:rFonts w:cs="Times New Roman"/>
          <w:i/>
          <w:iCs/>
        </w:rPr>
        <w:t>BMC Medicine</w:t>
      </w:r>
      <w:r w:rsidRPr="00B077C6">
        <w:rPr>
          <w:rFonts w:cs="Times New Roman"/>
        </w:rPr>
        <w:t xml:space="preserve">, </w:t>
      </w:r>
      <w:r w:rsidRPr="00B077C6">
        <w:rPr>
          <w:rFonts w:cs="Times New Roman"/>
          <w:i/>
          <w:iCs/>
        </w:rPr>
        <w:t>17</w:t>
      </w:r>
      <w:r w:rsidRPr="00B077C6">
        <w:rPr>
          <w:rFonts w:cs="Times New Roman"/>
        </w:rPr>
        <w:t xml:space="preserve">. </w:t>
      </w:r>
      <w:hyperlink r:id="rId12" w:history="1">
        <w:r w:rsidRPr="00B077C6">
          <w:rPr>
            <w:rStyle w:val="Hyperlink"/>
            <w:rFonts w:cs="Times New Roman"/>
          </w:rPr>
          <w:t>https://doi.org/10.1186/s12916-019-1271-3</w:t>
        </w:r>
      </w:hyperlink>
      <w:r w:rsidRPr="00B077C6">
        <w:rPr>
          <w:rFonts w:cs="Times New Roman"/>
        </w:rPr>
        <w:t xml:space="preserve"> </w:t>
      </w:r>
    </w:p>
    <w:p w14:paraId="71EFDCC6" w14:textId="77777777" w:rsidR="00B077C6" w:rsidRPr="00B077C6" w:rsidRDefault="00B077C6" w:rsidP="00EA7325">
      <w:pPr>
        <w:ind w:left="720" w:hanging="720"/>
        <w:rPr>
          <w:rFonts w:cs="Times New Roman"/>
        </w:rPr>
      </w:pPr>
      <w:proofErr w:type="spellStart"/>
      <w:r w:rsidRPr="00B077C6">
        <w:rPr>
          <w:rFonts w:cs="Times New Roman"/>
        </w:rPr>
        <w:t>Subu</w:t>
      </w:r>
      <w:proofErr w:type="spellEnd"/>
      <w:r w:rsidRPr="00B077C6">
        <w:rPr>
          <w:rFonts w:cs="Times New Roman"/>
        </w:rPr>
        <w:t xml:space="preserve">, M. A., Wati, D. F., </w:t>
      </w:r>
      <w:proofErr w:type="spellStart"/>
      <w:r w:rsidRPr="00B077C6">
        <w:rPr>
          <w:rFonts w:cs="Times New Roman"/>
        </w:rPr>
        <w:t>Netrida</w:t>
      </w:r>
      <w:proofErr w:type="spellEnd"/>
      <w:r w:rsidRPr="00B077C6">
        <w:rPr>
          <w:rFonts w:cs="Times New Roman"/>
        </w:rPr>
        <w:t xml:space="preserve">, N., Priscilla, V., Dias, J. M., Abraham, M. S., </w:t>
      </w:r>
      <w:proofErr w:type="spellStart"/>
      <w:r w:rsidRPr="00B077C6">
        <w:rPr>
          <w:rFonts w:cs="Times New Roman"/>
        </w:rPr>
        <w:t>Slewa-Younan</w:t>
      </w:r>
      <w:proofErr w:type="spellEnd"/>
      <w:r w:rsidRPr="00B077C6">
        <w:rPr>
          <w:rFonts w:cs="Times New Roman"/>
        </w:rPr>
        <w:t>, S., &amp; Al-</w:t>
      </w:r>
      <w:proofErr w:type="spellStart"/>
      <w:r w:rsidRPr="00B077C6">
        <w:rPr>
          <w:rFonts w:cs="Times New Roman"/>
        </w:rPr>
        <w:t>Yateem</w:t>
      </w:r>
      <w:proofErr w:type="spellEnd"/>
      <w:r w:rsidRPr="00B077C6">
        <w:rPr>
          <w:rFonts w:cs="Times New Roman"/>
        </w:rPr>
        <w:t xml:space="preserve">, N. (2021). Types of </w:t>
      </w:r>
      <w:proofErr w:type="gramStart"/>
      <w:r w:rsidRPr="00B077C6">
        <w:rPr>
          <w:rFonts w:cs="Times New Roman"/>
        </w:rPr>
        <w:t>stigma</w:t>
      </w:r>
      <w:proofErr w:type="gramEnd"/>
      <w:r w:rsidRPr="00B077C6">
        <w:rPr>
          <w:rFonts w:cs="Times New Roman"/>
        </w:rPr>
        <w:t xml:space="preserve"> experienced by patients with mental illness and mental health nurses in Indonesia: A qualitative content analysis. </w:t>
      </w:r>
      <w:r w:rsidRPr="00B077C6">
        <w:rPr>
          <w:rFonts w:cs="Times New Roman"/>
          <w:i/>
          <w:iCs/>
        </w:rPr>
        <w:t>International Journal of Mental Health Systems</w:t>
      </w:r>
      <w:r w:rsidRPr="00B077C6">
        <w:rPr>
          <w:rFonts w:cs="Times New Roman"/>
        </w:rPr>
        <w:t xml:space="preserve">, </w:t>
      </w:r>
      <w:r w:rsidRPr="00B077C6">
        <w:rPr>
          <w:rFonts w:cs="Times New Roman"/>
          <w:i/>
          <w:iCs/>
        </w:rPr>
        <w:t>15</w:t>
      </w:r>
      <w:r w:rsidRPr="00B077C6">
        <w:rPr>
          <w:rFonts w:cs="Times New Roman"/>
        </w:rPr>
        <w:t xml:space="preserve">. </w:t>
      </w:r>
      <w:hyperlink r:id="rId13" w:history="1">
        <w:r w:rsidRPr="00B077C6">
          <w:rPr>
            <w:rStyle w:val="Hyperlink"/>
            <w:rFonts w:cs="Times New Roman"/>
          </w:rPr>
          <w:t>https://doi.org/10.1186/s13033-021-00502-x</w:t>
        </w:r>
      </w:hyperlink>
      <w:r w:rsidRPr="00B077C6">
        <w:rPr>
          <w:rFonts w:cs="Times New Roman"/>
        </w:rPr>
        <w:t xml:space="preserve"> </w:t>
      </w:r>
    </w:p>
    <w:p w14:paraId="19F57BF6" w14:textId="77777777" w:rsidR="00B077C6" w:rsidRPr="00B077C6" w:rsidRDefault="00B077C6" w:rsidP="00EA7325">
      <w:pPr>
        <w:ind w:left="720" w:hanging="720"/>
        <w:rPr>
          <w:rFonts w:cs="Times New Roman"/>
        </w:rPr>
      </w:pPr>
      <w:r w:rsidRPr="00B077C6">
        <w:rPr>
          <w:rFonts w:cs="Times New Roman"/>
          <w:color w:val="212121"/>
          <w:shd w:val="clear" w:color="auto" w:fill="FFFFFF"/>
        </w:rPr>
        <w:t>World Health Organization.</w:t>
      </w:r>
      <w:r w:rsidRPr="00B077C6">
        <w:rPr>
          <w:rFonts w:cs="Times New Roman"/>
        </w:rPr>
        <w:t xml:space="preserve"> (2022). </w:t>
      </w:r>
      <w:r w:rsidRPr="00B077C6">
        <w:rPr>
          <w:rFonts w:cs="Times New Roman"/>
          <w:i/>
          <w:iCs/>
        </w:rPr>
        <w:t>Mental disorders</w:t>
      </w:r>
      <w:r w:rsidRPr="00B077C6">
        <w:rPr>
          <w:rFonts w:cs="Times New Roman"/>
        </w:rPr>
        <w:t xml:space="preserve">. Geneva: World Health Organization. </w:t>
      </w:r>
      <w:hyperlink r:id="rId14" w:history="1">
        <w:r w:rsidRPr="00B077C6">
          <w:rPr>
            <w:rStyle w:val="Hyperlink"/>
            <w:rFonts w:cs="Times New Roman"/>
          </w:rPr>
          <w:t>https://www.who.int/news-room/fact-sheets/detail/mental-disorders</w:t>
        </w:r>
      </w:hyperlink>
      <w:r w:rsidRPr="00B077C6">
        <w:rPr>
          <w:rFonts w:cs="Times New Roman"/>
        </w:rPr>
        <w:t xml:space="preserve"> </w:t>
      </w:r>
    </w:p>
    <w:p w14:paraId="5FE19328" w14:textId="4063FA9C" w:rsidR="00D26E10" w:rsidRDefault="00D26E10">
      <w:r>
        <w:br w:type="page"/>
      </w:r>
    </w:p>
    <w:p w14:paraId="474FADC9" w14:textId="77777777" w:rsidR="00B351C2" w:rsidRDefault="00B351C2" w:rsidP="00D26E10">
      <w:pPr>
        <w:jc w:val="center"/>
        <w:rPr>
          <w:b/>
          <w:bCs/>
        </w:rPr>
        <w:sectPr w:rsidR="00B351C2">
          <w:headerReference w:type="default" r:id="rId15"/>
          <w:pgSz w:w="12240" w:h="15840"/>
          <w:pgMar w:top="1440" w:right="1440" w:bottom="1440" w:left="1440" w:header="708" w:footer="708" w:gutter="0"/>
          <w:cols w:space="708"/>
          <w:docGrid w:linePitch="360"/>
        </w:sectPr>
      </w:pPr>
    </w:p>
    <w:p w14:paraId="5691FF53" w14:textId="2A742164" w:rsidR="00D26E10" w:rsidRDefault="00D26E10" w:rsidP="00D26E10">
      <w:pPr>
        <w:jc w:val="center"/>
        <w:rPr>
          <w:b/>
          <w:bCs/>
        </w:rPr>
      </w:pPr>
      <w:r w:rsidRPr="00D26E10">
        <w:rPr>
          <w:b/>
          <w:bCs/>
        </w:rPr>
        <w:lastRenderedPageBreak/>
        <w:t>Appendices: John Hopkins Appraisal Tool</w:t>
      </w:r>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1105"/>
        <w:gridCol w:w="1620"/>
        <w:gridCol w:w="1563"/>
        <w:gridCol w:w="1662"/>
        <w:gridCol w:w="2063"/>
        <w:gridCol w:w="1595"/>
        <w:gridCol w:w="1671"/>
        <w:gridCol w:w="1671"/>
      </w:tblGrid>
      <w:tr w:rsidR="00B077C6" w:rsidRPr="00901490" w14:paraId="1FB6C9F7" w14:textId="77777777" w:rsidTr="00B3206C">
        <w:trPr>
          <w:trHeight w:val="920"/>
        </w:trPr>
        <w:tc>
          <w:tcPr>
            <w:tcW w:w="375" w:type="pct"/>
            <w:shd w:val="clear" w:color="auto" w:fill="D1D3D4"/>
          </w:tcPr>
          <w:p w14:paraId="3D0F67B6" w14:textId="77777777" w:rsidR="00756FB9" w:rsidRPr="00901490" w:rsidRDefault="00756FB9" w:rsidP="00B3206C">
            <w:pPr>
              <w:pStyle w:val="TableParagraph"/>
              <w:rPr>
                <w:rFonts w:ascii="Times New Roman" w:hAnsi="Times New Roman" w:cs="Times New Roman"/>
                <w:b/>
                <w:sz w:val="24"/>
                <w:szCs w:val="24"/>
              </w:rPr>
            </w:pPr>
          </w:p>
          <w:p w14:paraId="130A75AE" w14:textId="77777777" w:rsidR="00756FB9" w:rsidRPr="00901490" w:rsidRDefault="00756FB9" w:rsidP="00B3206C">
            <w:pPr>
              <w:pStyle w:val="TableParagraph"/>
              <w:spacing w:before="155" w:line="240" w:lineRule="atLeast"/>
              <w:ind w:left="103" w:right="138"/>
              <w:rPr>
                <w:rFonts w:ascii="Times New Roman" w:hAnsi="Times New Roman" w:cs="Times New Roman"/>
                <w:b/>
                <w:sz w:val="24"/>
                <w:szCs w:val="24"/>
              </w:rPr>
            </w:pPr>
            <w:r w:rsidRPr="00901490">
              <w:rPr>
                <w:rFonts w:ascii="Times New Roman" w:hAnsi="Times New Roman" w:cs="Times New Roman"/>
                <w:b/>
                <w:color w:val="231F20"/>
                <w:w w:val="105"/>
                <w:sz w:val="24"/>
                <w:szCs w:val="24"/>
              </w:rPr>
              <w:t xml:space="preserve">Article </w:t>
            </w:r>
            <w:r w:rsidRPr="00901490">
              <w:rPr>
                <w:rFonts w:ascii="Times New Roman" w:hAnsi="Times New Roman" w:cs="Times New Roman"/>
                <w:b/>
                <w:color w:val="231F20"/>
                <w:sz w:val="24"/>
                <w:szCs w:val="24"/>
              </w:rPr>
              <w:t>Number</w:t>
            </w:r>
          </w:p>
        </w:tc>
        <w:tc>
          <w:tcPr>
            <w:tcW w:w="633" w:type="pct"/>
            <w:shd w:val="clear" w:color="auto" w:fill="D1D3D4"/>
          </w:tcPr>
          <w:p w14:paraId="13514F68" w14:textId="77777777" w:rsidR="00756FB9" w:rsidRPr="00901490" w:rsidRDefault="00756FB9" w:rsidP="00B3206C">
            <w:pPr>
              <w:pStyle w:val="TableParagraph"/>
              <w:rPr>
                <w:rFonts w:ascii="Times New Roman" w:hAnsi="Times New Roman" w:cs="Times New Roman"/>
                <w:b/>
                <w:sz w:val="24"/>
                <w:szCs w:val="24"/>
              </w:rPr>
            </w:pPr>
          </w:p>
          <w:p w14:paraId="31600F4A" w14:textId="77777777" w:rsidR="00756FB9" w:rsidRPr="00901490" w:rsidRDefault="00756FB9" w:rsidP="00B3206C">
            <w:pPr>
              <w:pStyle w:val="TableParagraph"/>
              <w:rPr>
                <w:rFonts w:ascii="Times New Roman" w:hAnsi="Times New Roman" w:cs="Times New Roman"/>
                <w:b/>
                <w:sz w:val="24"/>
                <w:szCs w:val="24"/>
              </w:rPr>
            </w:pPr>
          </w:p>
          <w:p w14:paraId="4D3760CD" w14:textId="77777777" w:rsidR="00756FB9" w:rsidRPr="00901490" w:rsidRDefault="00756FB9" w:rsidP="00B3206C">
            <w:pPr>
              <w:pStyle w:val="TableParagraph"/>
              <w:spacing w:before="176"/>
              <w:ind w:left="103"/>
              <w:rPr>
                <w:rFonts w:ascii="Times New Roman" w:hAnsi="Times New Roman" w:cs="Times New Roman"/>
                <w:b/>
                <w:sz w:val="24"/>
                <w:szCs w:val="24"/>
              </w:rPr>
            </w:pPr>
            <w:r w:rsidRPr="00901490">
              <w:rPr>
                <w:rFonts w:ascii="Times New Roman" w:hAnsi="Times New Roman" w:cs="Times New Roman"/>
                <w:b/>
                <w:color w:val="231F20"/>
                <w:sz w:val="24"/>
                <w:szCs w:val="24"/>
              </w:rPr>
              <w:t>Author and Date</w:t>
            </w:r>
          </w:p>
        </w:tc>
        <w:tc>
          <w:tcPr>
            <w:tcW w:w="611" w:type="pct"/>
            <w:shd w:val="clear" w:color="auto" w:fill="D1D3D4"/>
          </w:tcPr>
          <w:p w14:paraId="608966EC" w14:textId="77777777" w:rsidR="00756FB9" w:rsidRPr="00901490" w:rsidRDefault="00756FB9" w:rsidP="00B3206C">
            <w:pPr>
              <w:pStyle w:val="TableParagraph"/>
              <w:rPr>
                <w:rFonts w:ascii="Times New Roman" w:hAnsi="Times New Roman" w:cs="Times New Roman"/>
                <w:b/>
                <w:sz w:val="24"/>
                <w:szCs w:val="24"/>
              </w:rPr>
            </w:pPr>
          </w:p>
          <w:p w14:paraId="123E4C65" w14:textId="77777777" w:rsidR="00756FB9" w:rsidRPr="00901490" w:rsidRDefault="00756FB9" w:rsidP="00B3206C">
            <w:pPr>
              <w:pStyle w:val="TableParagraph"/>
              <w:rPr>
                <w:rFonts w:ascii="Times New Roman" w:hAnsi="Times New Roman" w:cs="Times New Roman"/>
                <w:b/>
                <w:sz w:val="24"/>
                <w:szCs w:val="24"/>
              </w:rPr>
            </w:pPr>
          </w:p>
          <w:p w14:paraId="7B057E4D" w14:textId="77777777" w:rsidR="00756FB9" w:rsidRPr="00901490" w:rsidRDefault="00756FB9" w:rsidP="00B3206C">
            <w:pPr>
              <w:pStyle w:val="TableParagraph"/>
              <w:spacing w:before="176"/>
              <w:ind w:left="103"/>
              <w:rPr>
                <w:rFonts w:ascii="Times New Roman" w:hAnsi="Times New Roman" w:cs="Times New Roman"/>
                <w:b/>
                <w:sz w:val="24"/>
                <w:szCs w:val="24"/>
              </w:rPr>
            </w:pPr>
            <w:r w:rsidRPr="00901490">
              <w:rPr>
                <w:rFonts w:ascii="Times New Roman" w:hAnsi="Times New Roman" w:cs="Times New Roman"/>
                <w:b/>
                <w:color w:val="231F20"/>
                <w:sz w:val="24"/>
                <w:szCs w:val="24"/>
              </w:rPr>
              <w:t>Evidence Type</w:t>
            </w:r>
          </w:p>
        </w:tc>
        <w:tc>
          <w:tcPr>
            <w:tcW w:w="649" w:type="pct"/>
            <w:shd w:val="clear" w:color="auto" w:fill="D1D3D4"/>
          </w:tcPr>
          <w:p w14:paraId="1CCB5858" w14:textId="77777777" w:rsidR="00756FB9" w:rsidRPr="00901490" w:rsidRDefault="00756FB9" w:rsidP="00B3206C">
            <w:pPr>
              <w:pStyle w:val="TableParagraph"/>
              <w:rPr>
                <w:rFonts w:ascii="Times New Roman" w:hAnsi="Times New Roman" w:cs="Times New Roman"/>
                <w:b/>
                <w:sz w:val="24"/>
                <w:szCs w:val="24"/>
              </w:rPr>
            </w:pPr>
          </w:p>
          <w:p w14:paraId="4008F1EC" w14:textId="77777777" w:rsidR="00756FB9" w:rsidRPr="00901490" w:rsidRDefault="00756FB9" w:rsidP="00B3206C">
            <w:pPr>
              <w:pStyle w:val="TableParagraph"/>
              <w:spacing w:before="155" w:line="240" w:lineRule="atLeast"/>
              <w:ind w:left="103" w:right="112"/>
              <w:rPr>
                <w:rFonts w:ascii="Times New Roman" w:hAnsi="Times New Roman" w:cs="Times New Roman"/>
                <w:b/>
                <w:sz w:val="24"/>
                <w:szCs w:val="24"/>
              </w:rPr>
            </w:pPr>
            <w:r w:rsidRPr="00901490">
              <w:rPr>
                <w:rFonts w:ascii="Times New Roman" w:hAnsi="Times New Roman" w:cs="Times New Roman"/>
                <w:b/>
                <w:color w:val="231F20"/>
                <w:w w:val="105"/>
                <w:sz w:val="24"/>
                <w:szCs w:val="24"/>
              </w:rPr>
              <w:t>Sample, Sample Size, Setting</w:t>
            </w:r>
          </w:p>
        </w:tc>
        <w:tc>
          <w:tcPr>
            <w:tcW w:w="804" w:type="pct"/>
            <w:shd w:val="clear" w:color="auto" w:fill="D1D3D4"/>
          </w:tcPr>
          <w:p w14:paraId="3235CF4A" w14:textId="77777777" w:rsidR="00756FB9" w:rsidRPr="00901490" w:rsidRDefault="00756FB9" w:rsidP="00B3206C">
            <w:pPr>
              <w:pStyle w:val="TableParagraph"/>
              <w:spacing w:before="167" w:line="240" w:lineRule="atLeast"/>
              <w:ind w:left="103"/>
              <w:rPr>
                <w:rFonts w:ascii="Times New Roman" w:hAnsi="Times New Roman" w:cs="Times New Roman"/>
                <w:b/>
                <w:sz w:val="24"/>
                <w:szCs w:val="24"/>
              </w:rPr>
            </w:pPr>
            <w:r w:rsidRPr="00901490">
              <w:rPr>
                <w:rFonts w:ascii="Times New Roman" w:hAnsi="Times New Roman" w:cs="Times New Roman"/>
                <w:b/>
                <w:color w:val="231F20"/>
                <w:sz w:val="24"/>
                <w:szCs w:val="24"/>
              </w:rPr>
              <w:t>Findings That Help Answer the EBP Question</w:t>
            </w:r>
          </w:p>
        </w:tc>
        <w:tc>
          <w:tcPr>
            <w:tcW w:w="623" w:type="pct"/>
            <w:shd w:val="clear" w:color="auto" w:fill="D1D3D4"/>
          </w:tcPr>
          <w:p w14:paraId="555E1A94" w14:textId="77777777" w:rsidR="00756FB9" w:rsidRPr="00901490" w:rsidRDefault="00756FB9" w:rsidP="00B3206C">
            <w:pPr>
              <w:pStyle w:val="TableParagraph"/>
              <w:rPr>
                <w:rFonts w:ascii="Times New Roman" w:hAnsi="Times New Roman" w:cs="Times New Roman"/>
                <w:b/>
                <w:sz w:val="24"/>
                <w:szCs w:val="24"/>
              </w:rPr>
            </w:pPr>
          </w:p>
          <w:p w14:paraId="162E91A9" w14:textId="77777777" w:rsidR="00756FB9" w:rsidRPr="00901490" w:rsidRDefault="00756FB9" w:rsidP="00B3206C">
            <w:pPr>
              <w:pStyle w:val="TableParagraph"/>
              <w:spacing w:before="155" w:line="240" w:lineRule="atLeast"/>
              <w:ind w:left="103" w:right="124"/>
              <w:rPr>
                <w:rFonts w:ascii="Times New Roman" w:hAnsi="Times New Roman" w:cs="Times New Roman"/>
                <w:b/>
                <w:sz w:val="24"/>
                <w:szCs w:val="24"/>
              </w:rPr>
            </w:pPr>
            <w:r w:rsidRPr="00901490">
              <w:rPr>
                <w:rFonts w:ascii="Times New Roman" w:hAnsi="Times New Roman" w:cs="Times New Roman"/>
                <w:b/>
                <w:color w:val="231F20"/>
                <w:sz w:val="24"/>
                <w:szCs w:val="24"/>
              </w:rPr>
              <w:t xml:space="preserve">Observable </w:t>
            </w:r>
            <w:r w:rsidRPr="00901490">
              <w:rPr>
                <w:rFonts w:ascii="Times New Roman" w:hAnsi="Times New Roman" w:cs="Times New Roman"/>
                <w:b/>
                <w:color w:val="231F20"/>
                <w:w w:val="105"/>
                <w:sz w:val="24"/>
                <w:szCs w:val="24"/>
              </w:rPr>
              <w:t>Measures</w:t>
            </w:r>
          </w:p>
        </w:tc>
        <w:tc>
          <w:tcPr>
            <w:tcW w:w="652" w:type="pct"/>
            <w:shd w:val="clear" w:color="auto" w:fill="D1D3D4"/>
          </w:tcPr>
          <w:p w14:paraId="1396B778" w14:textId="77777777" w:rsidR="00756FB9" w:rsidRPr="00901490" w:rsidRDefault="00756FB9" w:rsidP="00B3206C">
            <w:pPr>
              <w:pStyle w:val="TableParagraph"/>
              <w:rPr>
                <w:rFonts w:ascii="Times New Roman" w:hAnsi="Times New Roman" w:cs="Times New Roman"/>
                <w:b/>
                <w:sz w:val="24"/>
                <w:szCs w:val="24"/>
              </w:rPr>
            </w:pPr>
          </w:p>
          <w:p w14:paraId="18093D7B" w14:textId="77777777" w:rsidR="00756FB9" w:rsidRPr="00901490" w:rsidRDefault="00756FB9" w:rsidP="00B3206C">
            <w:pPr>
              <w:pStyle w:val="TableParagraph"/>
              <w:rPr>
                <w:rFonts w:ascii="Times New Roman" w:hAnsi="Times New Roman" w:cs="Times New Roman"/>
                <w:b/>
                <w:sz w:val="24"/>
                <w:szCs w:val="24"/>
              </w:rPr>
            </w:pPr>
          </w:p>
          <w:p w14:paraId="358844B7" w14:textId="77777777" w:rsidR="00756FB9" w:rsidRPr="00901490" w:rsidRDefault="00756FB9" w:rsidP="00B3206C">
            <w:pPr>
              <w:pStyle w:val="TableParagraph"/>
              <w:spacing w:before="176"/>
              <w:ind w:left="103"/>
              <w:jc w:val="center"/>
              <w:rPr>
                <w:rFonts w:ascii="Times New Roman" w:hAnsi="Times New Roman" w:cs="Times New Roman"/>
                <w:b/>
                <w:sz w:val="24"/>
                <w:szCs w:val="24"/>
              </w:rPr>
            </w:pPr>
            <w:r w:rsidRPr="00901490">
              <w:rPr>
                <w:rFonts w:ascii="Times New Roman" w:hAnsi="Times New Roman" w:cs="Times New Roman"/>
                <w:b/>
                <w:color w:val="231F20"/>
                <w:w w:val="105"/>
                <w:sz w:val="24"/>
                <w:szCs w:val="24"/>
              </w:rPr>
              <w:t>Limitations</w:t>
            </w:r>
          </w:p>
        </w:tc>
        <w:tc>
          <w:tcPr>
            <w:tcW w:w="652" w:type="pct"/>
            <w:shd w:val="clear" w:color="auto" w:fill="D1D3D4"/>
          </w:tcPr>
          <w:p w14:paraId="47C100B0" w14:textId="77777777" w:rsidR="00756FB9" w:rsidRPr="00901490" w:rsidRDefault="00756FB9" w:rsidP="00B3206C">
            <w:pPr>
              <w:pStyle w:val="TableParagraph"/>
              <w:rPr>
                <w:rFonts w:ascii="Times New Roman" w:hAnsi="Times New Roman" w:cs="Times New Roman"/>
                <w:b/>
                <w:sz w:val="24"/>
                <w:szCs w:val="24"/>
              </w:rPr>
            </w:pPr>
          </w:p>
          <w:p w14:paraId="52444278" w14:textId="77777777" w:rsidR="00756FB9" w:rsidRPr="00901490" w:rsidRDefault="00756FB9" w:rsidP="00B3206C">
            <w:pPr>
              <w:pStyle w:val="TableParagraph"/>
              <w:spacing w:before="155" w:line="240" w:lineRule="atLeast"/>
              <w:ind w:left="103" w:right="107"/>
              <w:rPr>
                <w:rFonts w:ascii="Times New Roman" w:hAnsi="Times New Roman" w:cs="Times New Roman"/>
                <w:b/>
                <w:sz w:val="24"/>
                <w:szCs w:val="24"/>
              </w:rPr>
            </w:pPr>
            <w:r w:rsidRPr="00901490">
              <w:rPr>
                <w:rFonts w:ascii="Times New Roman" w:hAnsi="Times New Roman" w:cs="Times New Roman"/>
                <w:b/>
                <w:color w:val="231F20"/>
                <w:w w:val="105"/>
                <w:sz w:val="24"/>
                <w:szCs w:val="24"/>
              </w:rPr>
              <w:t>Evidence Level, Quality</w:t>
            </w:r>
          </w:p>
        </w:tc>
      </w:tr>
      <w:tr w:rsidR="00B077C6" w14:paraId="26221194" w14:textId="77777777" w:rsidTr="00B3206C">
        <w:trPr>
          <w:trHeight w:val="920"/>
        </w:trPr>
        <w:tc>
          <w:tcPr>
            <w:tcW w:w="375" w:type="pct"/>
            <w:shd w:val="clear" w:color="auto" w:fill="D1D3D4"/>
          </w:tcPr>
          <w:p w14:paraId="426ED070" w14:textId="77777777" w:rsidR="00756FB9" w:rsidRDefault="00756FB9" w:rsidP="00B3206C">
            <w:pPr>
              <w:pStyle w:val="TableParagraph"/>
              <w:rPr>
                <w:b/>
              </w:rPr>
            </w:pPr>
          </w:p>
        </w:tc>
        <w:tc>
          <w:tcPr>
            <w:tcW w:w="633" w:type="pct"/>
            <w:shd w:val="clear" w:color="auto" w:fill="D1D3D4"/>
          </w:tcPr>
          <w:p w14:paraId="303F2C02" w14:textId="77777777" w:rsidR="00756FB9" w:rsidRDefault="00756FB9" w:rsidP="00B3206C">
            <w:pPr>
              <w:pStyle w:val="TableParagraph"/>
              <w:rPr>
                <w:b/>
              </w:rPr>
            </w:pPr>
          </w:p>
        </w:tc>
        <w:tc>
          <w:tcPr>
            <w:tcW w:w="611" w:type="pct"/>
            <w:shd w:val="clear" w:color="auto" w:fill="D1D3D4"/>
          </w:tcPr>
          <w:p w14:paraId="028821F8" w14:textId="77777777" w:rsidR="00756FB9" w:rsidRDefault="00756FB9" w:rsidP="00B3206C">
            <w:pPr>
              <w:pStyle w:val="TableParagraph"/>
              <w:rPr>
                <w:b/>
              </w:rPr>
            </w:pPr>
          </w:p>
        </w:tc>
        <w:tc>
          <w:tcPr>
            <w:tcW w:w="649" w:type="pct"/>
            <w:shd w:val="clear" w:color="auto" w:fill="D1D3D4"/>
          </w:tcPr>
          <w:p w14:paraId="3B8BE762" w14:textId="77777777" w:rsidR="00756FB9" w:rsidRDefault="00756FB9" w:rsidP="00B3206C">
            <w:pPr>
              <w:pStyle w:val="TableParagraph"/>
              <w:rPr>
                <w:b/>
              </w:rPr>
            </w:pPr>
          </w:p>
        </w:tc>
        <w:tc>
          <w:tcPr>
            <w:tcW w:w="804" w:type="pct"/>
            <w:shd w:val="clear" w:color="auto" w:fill="D1D3D4"/>
          </w:tcPr>
          <w:p w14:paraId="01386E9A" w14:textId="77777777" w:rsidR="00756FB9" w:rsidRDefault="00756FB9" w:rsidP="00B3206C">
            <w:pPr>
              <w:pStyle w:val="TableParagraph"/>
              <w:spacing w:before="167" w:line="240" w:lineRule="atLeast"/>
              <w:ind w:left="103"/>
              <w:rPr>
                <w:b/>
                <w:color w:val="231F20"/>
                <w:sz w:val="18"/>
              </w:rPr>
            </w:pPr>
          </w:p>
        </w:tc>
        <w:tc>
          <w:tcPr>
            <w:tcW w:w="623" w:type="pct"/>
            <w:shd w:val="clear" w:color="auto" w:fill="D1D3D4"/>
          </w:tcPr>
          <w:p w14:paraId="6CF7C5D0" w14:textId="77777777" w:rsidR="00756FB9" w:rsidRDefault="00756FB9" w:rsidP="00B3206C">
            <w:pPr>
              <w:pStyle w:val="TableParagraph"/>
              <w:rPr>
                <w:b/>
              </w:rPr>
            </w:pPr>
          </w:p>
        </w:tc>
        <w:tc>
          <w:tcPr>
            <w:tcW w:w="652" w:type="pct"/>
            <w:shd w:val="clear" w:color="auto" w:fill="D1D3D4"/>
          </w:tcPr>
          <w:p w14:paraId="786C9B6B" w14:textId="77777777" w:rsidR="00756FB9" w:rsidRDefault="00756FB9" w:rsidP="00B3206C">
            <w:pPr>
              <w:pStyle w:val="TableParagraph"/>
              <w:rPr>
                <w:b/>
              </w:rPr>
            </w:pPr>
          </w:p>
        </w:tc>
        <w:tc>
          <w:tcPr>
            <w:tcW w:w="652" w:type="pct"/>
            <w:shd w:val="clear" w:color="auto" w:fill="D1D3D4"/>
          </w:tcPr>
          <w:p w14:paraId="799361F6" w14:textId="77777777" w:rsidR="00756FB9" w:rsidRDefault="00756FB9" w:rsidP="00B3206C">
            <w:pPr>
              <w:pStyle w:val="TableParagraph"/>
              <w:rPr>
                <w:b/>
              </w:rPr>
            </w:pPr>
          </w:p>
        </w:tc>
      </w:tr>
      <w:tr w:rsidR="00756FB9" w14:paraId="7BD1FEC7" w14:textId="77777777" w:rsidTr="00B3206C">
        <w:trPr>
          <w:trHeight w:val="880"/>
        </w:trPr>
        <w:tc>
          <w:tcPr>
            <w:tcW w:w="375" w:type="pct"/>
          </w:tcPr>
          <w:p w14:paraId="0409344F" w14:textId="77777777" w:rsidR="00756FB9" w:rsidRDefault="00756FB9" w:rsidP="00756FB9">
            <w:pPr>
              <w:pStyle w:val="TableParagraph"/>
              <w:numPr>
                <w:ilvl w:val="0"/>
                <w:numId w:val="1"/>
              </w:numPr>
              <w:rPr>
                <w:rFonts w:ascii="Times New Roman"/>
                <w:sz w:val="16"/>
              </w:rPr>
            </w:pPr>
          </w:p>
        </w:tc>
        <w:tc>
          <w:tcPr>
            <w:tcW w:w="633" w:type="pct"/>
          </w:tcPr>
          <w:p w14:paraId="7028707F" w14:textId="77777777" w:rsidR="00756FB9" w:rsidRPr="007B621D" w:rsidRDefault="00756FB9" w:rsidP="00B3206C">
            <w:pPr>
              <w:pStyle w:val="TableParagraph"/>
              <w:rPr>
                <w:rFonts w:ascii="Times New Roman"/>
                <w:sz w:val="16"/>
                <w:szCs w:val="16"/>
              </w:rPr>
            </w:pPr>
            <w:proofErr w:type="spellStart"/>
            <w:r w:rsidRPr="0038469E">
              <w:rPr>
                <w:rFonts w:ascii="Times New Roman"/>
                <w:sz w:val="24"/>
                <w:szCs w:val="24"/>
              </w:rPr>
              <w:t>Eiroa-Orosa</w:t>
            </w:r>
            <w:proofErr w:type="spellEnd"/>
            <w:r w:rsidRPr="0038469E">
              <w:rPr>
                <w:rFonts w:ascii="Times New Roman"/>
                <w:sz w:val="24"/>
                <w:szCs w:val="24"/>
              </w:rPr>
              <w:t xml:space="preserve"> et al. (2021)</w:t>
            </w:r>
          </w:p>
        </w:tc>
        <w:tc>
          <w:tcPr>
            <w:tcW w:w="611" w:type="pct"/>
          </w:tcPr>
          <w:p w14:paraId="5A70A202" w14:textId="77777777" w:rsidR="00756FB9" w:rsidRDefault="00756FB9" w:rsidP="00B3206C">
            <w:pPr>
              <w:pStyle w:val="TableParagraph"/>
              <w:rPr>
                <w:rFonts w:ascii="Times New Roman"/>
                <w:sz w:val="16"/>
              </w:rPr>
            </w:pPr>
            <w:r w:rsidRPr="0038469E">
              <w:rPr>
                <w:rFonts w:ascii="Times New Roman"/>
                <w:sz w:val="24"/>
                <w:szCs w:val="24"/>
              </w:rPr>
              <w:t>Quantitative; Randomized Controlled Trial (RCT)</w:t>
            </w:r>
          </w:p>
        </w:tc>
        <w:tc>
          <w:tcPr>
            <w:tcW w:w="649" w:type="pct"/>
          </w:tcPr>
          <w:p w14:paraId="2E0419E5" w14:textId="77777777" w:rsidR="00756FB9" w:rsidRPr="0038469E" w:rsidRDefault="00756FB9" w:rsidP="00B3206C">
            <w:pPr>
              <w:pStyle w:val="TableParagraph"/>
              <w:tabs>
                <w:tab w:val="left" w:pos="1064"/>
              </w:tabs>
              <w:ind w:right="132"/>
              <w:rPr>
                <w:rFonts w:ascii="Times New Roman" w:hAnsi="Times New Roman" w:cs="Times New Roman"/>
                <w:sz w:val="24"/>
                <w:szCs w:val="24"/>
              </w:rPr>
            </w:pPr>
            <w:r w:rsidRPr="0038469E">
              <w:rPr>
                <w:rFonts w:ascii="Times New Roman" w:hAnsi="Times New Roman" w:cs="Times New Roman"/>
                <w:sz w:val="24"/>
                <w:szCs w:val="24"/>
              </w:rPr>
              <w:t xml:space="preserve">The sample consisted of professionals in primary care and mental health settings, working as administrative officers, nurses, general practitioners, psychiatrists, psychologist, odontologists, or social workers. </w:t>
            </w:r>
          </w:p>
          <w:p w14:paraId="6E6220A2" w14:textId="77777777" w:rsidR="00756FB9" w:rsidRPr="0038469E" w:rsidRDefault="00756FB9" w:rsidP="00B3206C">
            <w:pPr>
              <w:pStyle w:val="TableParagraph"/>
              <w:tabs>
                <w:tab w:val="left" w:pos="1064"/>
              </w:tabs>
              <w:ind w:right="132"/>
              <w:rPr>
                <w:rFonts w:ascii="Times New Roman" w:hAnsi="Times New Roman" w:cs="Times New Roman"/>
                <w:sz w:val="24"/>
                <w:szCs w:val="24"/>
              </w:rPr>
            </w:pPr>
            <w:r w:rsidRPr="0038469E">
              <w:rPr>
                <w:rFonts w:ascii="Times New Roman" w:hAnsi="Times New Roman" w:cs="Times New Roman"/>
                <w:sz w:val="24"/>
                <w:szCs w:val="24"/>
              </w:rPr>
              <w:t xml:space="preserve">The sample included N=371 participants, n=185 from primary care and n=186 </w:t>
            </w:r>
            <w:r w:rsidRPr="0038469E">
              <w:rPr>
                <w:rFonts w:ascii="Times New Roman" w:hAnsi="Times New Roman" w:cs="Times New Roman"/>
                <w:sz w:val="24"/>
                <w:szCs w:val="24"/>
              </w:rPr>
              <w:lastRenderedPageBreak/>
              <w:t>from mental health.</w:t>
            </w:r>
          </w:p>
          <w:p w14:paraId="458ADAC4" w14:textId="77777777" w:rsidR="00756FB9" w:rsidRDefault="00756FB9" w:rsidP="00B3206C">
            <w:pPr>
              <w:pStyle w:val="TableParagraph"/>
              <w:tabs>
                <w:tab w:val="left" w:pos="1064"/>
              </w:tabs>
              <w:ind w:right="132"/>
              <w:rPr>
                <w:rFonts w:ascii="Gill Sans MT"/>
                <w:sz w:val="14"/>
              </w:rPr>
            </w:pPr>
            <w:r w:rsidRPr="0038469E">
              <w:rPr>
                <w:rFonts w:ascii="Times New Roman" w:hAnsi="Times New Roman" w:cs="Times New Roman"/>
                <w:sz w:val="24"/>
                <w:szCs w:val="24"/>
              </w:rPr>
              <w:t>The study was accomplished in primary care and mental health centers in Catalonia</w:t>
            </w:r>
          </w:p>
        </w:tc>
        <w:tc>
          <w:tcPr>
            <w:tcW w:w="804" w:type="pct"/>
          </w:tcPr>
          <w:p w14:paraId="7AF76B0A" w14:textId="77777777" w:rsidR="00756FB9" w:rsidRPr="007B621D" w:rsidRDefault="00756FB9" w:rsidP="00B3206C">
            <w:pPr>
              <w:pStyle w:val="TableParagraph"/>
              <w:rPr>
                <w:rFonts w:ascii="Times New Roman"/>
                <w:sz w:val="16"/>
                <w:szCs w:val="16"/>
              </w:rPr>
            </w:pPr>
            <w:r w:rsidRPr="0038469E">
              <w:rPr>
                <w:rFonts w:ascii="Times New Roman"/>
                <w:sz w:val="24"/>
                <w:szCs w:val="24"/>
              </w:rPr>
              <w:lastRenderedPageBreak/>
              <w:t>In primary care, the intervention group had statistically significant changes in stigma beliefs and attitudes (</w:t>
            </w:r>
            <w:r w:rsidRPr="0038469E">
              <w:rPr>
                <w:rFonts w:ascii="Times New Roman"/>
                <w:i/>
                <w:iCs/>
                <w:sz w:val="24"/>
                <w:szCs w:val="24"/>
              </w:rPr>
              <w:t>t</w:t>
            </w:r>
            <w:r w:rsidRPr="0038469E">
              <w:rPr>
                <w:rFonts w:ascii="Times New Roman"/>
                <w:sz w:val="24"/>
                <w:szCs w:val="24"/>
              </w:rPr>
              <w:t xml:space="preserve">=2.813, </w:t>
            </w:r>
            <w:r w:rsidRPr="0038469E">
              <w:rPr>
                <w:rFonts w:ascii="Times New Roman"/>
                <w:i/>
                <w:iCs/>
                <w:sz w:val="24"/>
                <w:szCs w:val="24"/>
              </w:rPr>
              <w:t>p</w:t>
            </w:r>
            <w:r w:rsidRPr="0038469E">
              <w:rPr>
                <w:rFonts w:ascii="Times New Roman"/>
                <w:sz w:val="24"/>
                <w:szCs w:val="24"/>
              </w:rPr>
              <w:t xml:space="preserve">&lt;0.01), as measured using the Opening Minds Stigma Scale for Health Care Providers (OMS-HC). In mental health, the intervention and control groups has statistically significant differences in their beliefs (z= - 2.419, </w:t>
            </w:r>
            <w:r w:rsidRPr="0038469E">
              <w:rPr>
                <w:rFonts w:ascii="Times New Roman"/>
                <w:i/>
                <w:iCs/>
                <w:sz w:val="24"/>
                <w:szCs w:val="24"/>
              </w:rPr>
              <w:t>p</w:t>
            </w:r>
            <w:r w:rsidRPr="0038469E">
              <w:rPr>
                <w:rFonts w:ascii="Times New Roman"/>
                <w:sz w:val="24"/>
                <w:szCs w:val="24"/>
              </w:rPr>
              <w:t>&lt;0.05) and total score (z</w:t>
            </w:r>
            <w:r>
              <w:rPr>
                <w:rFonts w:ascii="Times New Roman"/>
                <w:sz w:val="24"/>
                <w:szCs w:val="24"/>
              </w:rPr>
              <w:t xml:space="preserve"> =</w:t>
            </w:r>
            <w:r w:rsidRPr="0038469E">
              <w:rPr>
                <w:rFonts w:ascii="Times New Roman"/>
                <w:sz w:val="24"/>
                <w:szCs w:val="24"/>
              </w:rPr>
              <w:t xml:space="preserve"> -2.392, </w:t>
            </w:r>
            <w:r w:rsidRPr="0038469E">
              <w:rPr>
                <w:rFonts w:ascii="Times New Roman"/>
                <w:i/>
                <w:iCs/>
                <w:sz w:val="24"/>
                <w:szCs w:val="24"/>
              </w:rPr>
              <w:t>p</w:t>
            </w:r>
            <w:r w:rsidRPr="0038469E">
              <w:rPr>
                <w:rFonts w:ascii="Times New Roman"/>
                <w:sz w:val="24"/>
                <w:szCs w:val="24"/>
              </w:rPr>
              <w:t xml:space="preserve">&lt;0.05), as </w:t>
            </w:r>
            <w:r w:rsidRPr="0038469E">
              <w:rPr>
                <w:rFonts w:ascii="Times New Roman"/>
                <w:sz w:val="24"/>
                <w:szCs w:val="24"/>
              </w:rPr>
              <w:lastRenderedPageBreak/>
              <w:t>measured using Beliefs and Attitudes towards Mental Health Service (BAHMS). In addition, the intervention group portrayed a decreasing trend in BAHMS total score (</w:t>
            </w:r>
            <w:r w:rsidRPr="0038469E">
              <w:rPr>
                <w:rFonts w:ascii="Times New Roman"/>
                <w:i/>
                <w:iCs/>
                <w:sz w:val="24"/>
                <w:szCs w:val="24"/>
              </w:rPr>
              <w:t>t</w:t>
            </w:r>
            <w:r w:rsidRPr="0038469E">
              <w:rPr>
                <w:rFonts w:ascii="Times New Roman"/>
                <w:sz w:val="24"/>
                <w:szCs w:val="24"/>
              </w:rPr>
              <w:t xml:space="preserve">=1.708, </w:t>
            </w:r>
            <w:r w:rsidRPr="0038469E">
              <w:rPr>
                <w:rFonts w:ascii="Times New Roman"/>
                <w:i/>
                <w:iCs/>
                <w:sz w:val="24"/>
                <w:szCs w:val="24"/>
              </w:rPr>
              <w:t>p</w:t>
            </w:r>
            <w:r w:rsidRPr="0038469E">
              <w:rPr>
                <w:rFonts w:ascii="Times New Roman"/>
                <w:sz w:val="24"/>
                <w:szCs w:val="24"/>
              </w:rPr>
              <w:t>=0.091) and significant decrease in the coercion subscale (</w:t>
            </w:r>
            <w:r w:rsidRPr="0038469E">
              <w:rPr>
                <w:rFonts w:ascii="Times New Roman"/>
                <w:i/>
                <w:iCs/>
                <w:sz w:val="24"/>
                <w:szCs w:val="24"/>
              </w:rPr>
              <w:t>t</w:t>
            </w:r>
            <w:r w:rsidRPr="0038469E">
              <w:rPr>
                <w:rFonts w:ascii="Times New Roman"/>
                <w:sz w:val="24"/>
                <w:szCs w:val="24"/>
              </w:rPr>
              <w:t xml:space="preserve">=3.056, </w:t>
            </w:r>
            <w:r w:rsidRPr="0038469E">
              <w:rPr>
                <w:rFonts w:ascii="Times New Roman"/>
                <w:i/>
                <w:iCs/>
                <w:sz w:val="24"/>
                <w:szCs w:val="24"/>
              </w:rPr>
              <w:t>p</w:t>
            </w:r>
            <w:r w:rsidRPr="0038469E">
              <w:rPr>
                <w:rFonts w:ascii="Times New Roman"/>
                <w:sz w:val="24"/>
                <w:szCs w:val="24"/>
              </w:rPr>
              <w:t>&lt;0.05).</w:t>
            </w:r>
          </w:p>
        </w:tc>
        <w:tc>
          <w:tcPr>
            <w:tcW w:w="623" w:type="pct"/>
          </w:tcPr>
          <w:p w14:paraId="00D256AC" w14:textId="77777777" w:rsidR="00756FB9" w:rsidRPr="007B621D" w:rsidRDefault="00756FB9" w:rsidP="00B3206C">
            <w:pPr>
              <w:pStyle w:val="TableParagraph"/>
              <w:rPr>
                <w:rFonts w:ascii="Times New Roman"/>
                <w:sz w:val="16"/>
                <w:szCs w:val="16"/>
              </w:rPr>
            </w:pPr>
            <w:r w:rsidRPr="0038469E">
              <w:rPr>
                <w:rFonts w:ascii="Times New Roman"/>
                <w:sz w:val="24"/>
                <w:szCs w:val="24"/>
              </w:rPr>
              <w:lastRenderedPageBreak/>
              <w:t>Stigmatizing beliefs and behaviors measured using OMS-HC in PC and BAHMS in MH centers.</w:t>
            </w:r>
          </w:p>
        </w:tc>
        <w:tc>
          <w:tcPr>
            <w:tcW w:w="652" w:type="pct"/>
          </w:tcPr>
          <w:p w14:paraId="2053B7AA" w14:textId="77777777" w:rsidR="00756FB9" w:rsidRPr="0038469E" w:rsidRDefault="00756FB9" w:rsidP="00B3206C">
            <w:pPr>
              <w:pStyle w:val="TableParagraph"/>
              <w:rPr>
                <w:rFonts w:ascii="Times New Roman"/>
                <w:sz w:val="24"/>
                <w:szCs w:val="24"/>
              </w:rPr>
            </w:pPr>
            <w:r w:rsidRPr="0038469E">
              <w:rPr>
                <w:rFonts w:ascii="Times New Roman"/>
                <w:sz w:val="24"/>
                <w:szCs w:val="24"/>
              </w:rPr>
              <w:t>A high attrition rate, with some professionals failing to complete the baseline questionnaires</w:t>
            </w:r>
          </w:p>
          <w:p w14:paraId="46B9AA8F" w14:textId="77777777" w:rsidR="00756FB9" w:rsidRDefault="00756FB9" w:rsidP="00B3206C">
            <w:pPr>
              <w:pStyle w:val="TableParagraph"/>
              <w:rPr>
                <w:rFonts w:ascii="Times New Roman"/>
                <w:sz w:val="16"/>
              </w:rPr>
            </w:pPr>
            <w:r w:rsidRPr="0038469E">
              <w:rPr>
                <w:rFonts w:ascii="Times New Roman"/>
                <w:sz w:val="24"/>
                <w:szCs w:val="24"/>
              </w:rPr>
              <w:t>No formative evaluation activities were complete because of resource and time limitations</w:t>
            </w:r>
          </w:p>
        </w:tc>
        <w:tc>
          <w:tcPr>
            <w:tcW w:w="652" w:type="pct"/>
          </w:tcPr>
          <w:p w14:paraId="5BD0FEF6" w14:textId="77777777" w:rsidR="00756FB9" w:rsidRDefault="00756FB9" w:rsidP="00B3206C">
            <w:pPr>
              <w:pStyle w:val="TableParagraph"/>
              <w:rPr>
                <w:rFonts w:ascii="Times New Roman"/>
                <w:sz w:val="16"/>
              </w:rPr>
            </w:pPr>
            <w:r w:rsidRPr="0038469E">
              <w:rPr>
                <w:rFonts w:ascii="Times New Roman"/>
                <w:sz w:val="24"/>
                <w:szCs w:val="24"/>
              </w:rPr>
              <w:t>Level I; good quality</w:t>
            </w:r>
          </w:p>
        </w:tc>
      </w:tr>
    </w:tbl>
    <w:p w14:paraId="4431D364" w14:textId="77777777" w:rsidR="00D26E10" w:rsidRPr="00D26E10" w:rsidRDefault="00D26E10" w:rsidP="00B351C2"/>
    <w:sectPr w:rsidR="00D26E10" w:rsidRPr="00D26E10" w:rsidSect="00B077C6">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69C0E" w14:textId="77777777" w:rsidR="0085357E" w:rsidRDefault="0085357E" w:rsidP="00330BB2">
      <w:pPr>
        <w:spacing w:line="240" w:lineRule="auto"/>
      </w:pPr>
      <w:r>
        <w:separator/>
      </w:r>
    </w:p>
  </w:endnote>
  <w:endnote w:type="continuationSeparator" w:id="0">
    <w:p w14:paraId="30324168" w14:textId="77777777" w:rsidR="0085357E" w:rsidRDefault="0085357E" w:rsidP="00330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E99B" w14:textId="77777777" w:rsidR="0085357E" w:rsidRDefault="0085357E" w:rsidP="00330BB2">
      <w:pPr>
        <w:spacing w:line="240" w:lineRule="auto"/>
      </w:pPr>
      <w:r>
        <w:separator/>
      </w:r>
    </w:p>
  </w:footnote>
  <w:footnote w:type="continuationSeparator" w:id="0">
    <w:p w14:paraId="0C006DEF" w14:textId="77777777" w:rsidR="0085357E" w:rsidRDefault="0085357E" w:rsidP="00330B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43D5" w14:textId="7A767866" w:rsidR="00330BB2" w:rsidRDefault="00330BB2">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A4E10"/>
    <w:multiLevelType w:val="hybridMultilevel"/>
    <w:tmpl w:val="9AD458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0985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C6"/>
    <w:rsid w:val="000B2A03"/>
    <w:rsid w:val="000C7824"/>
    <w:rsid w:val="0012356D"/>
    <w:rsid w:val="00151982"/>
    <w:rsid w:val="00156B05"/>
    <w:rsid w:val="001B2832"/>
    <w:rsid w:val="001B59A9"/>
    <w:rsid w:val="001C0F10"/>
    <w:rsid w:val="0022228F"/>
    <w:rsid w:val="0023380E"/>
    <w:rsid w:val="002457FB"/>
    <w:rsid w:val="002738FC"/>
    <w:rsid w:val="002930F2"/>
    <w:rsid w:val="002A284F"/>
    <w:rsid w:val="002D1ED2"/>
    <w:rsid w:val="002F0B56"/>
    <w:rsid w:val="00321E9B"/>
    <w:rsid w:val="00330B5A"/>
    <w:rsid w:val="00330BB2"/>
    <w:rsid w:val="00362C2F"/>
    <w:rsid w:val="00385473"/>
    <w:rsid w:val="003970FF"/>
    <w:rsid w:val="003D4F55"/>
    <w:rsid w:val="003E7029"/>
    <w:rsid w:val="00406E1B"/>
    <w:rsid w:val="00427229"/>
    <w:rsid w:val="00447646"/>
    <w:rsid w:val="004C082C"/>
    <w:rsid w:val="00506B3F"/>
    <w:rsid w:val="0052079F"/>
    <w:rsid w:val="005376AF"/>
    <w:rsid w:val="00555E9D"/>
    <w:rsid w:val="005858A8"/>
    <w:rsid w:val="005B4DE0"/>
    <w:rsid w:val="005E526B"/>
    <w:rsid w:val="006537CC"/>
    <w:rsid w:val="00670ADE"/>
    <w:rsid w:val="006806F5"/>
    <w:rsid w:val="00695D35"/>
    <w:rsid w:val="006A4EE5"/>
    <w:rsid w:val="006D4978"/>
    <w:rsid w:val="006E3428"/>
    <w:rsid w:val="006E3F4A"/>
    <w:rsid w:val="006F1722"/>
    <w:rsid w:val="0072456C"/>
    <w:rsid w:val="007471AD"/>
    <w:rsid w:val="00747673"/>
    <w:rsid w:val="00747CB4"/>
    <w:rsid w:val="00756FB9"/>
    <w:rsid w:val="007E20B6"/>
    <w:rsid w:val="007E599A"/>
    <w:rsid w:val="00824DFE"/>
    <w:rsid w:val="0085357E"/>
    <w:rsid w:val="00886416"/>
    <w:rsid w:val="008B6E04"/>
    <w:rsid w:val="009058D2"/>
    <w:rsid w:val="00905965"/>
    <w:rsid w:val="00911D1C"/>
    <w:rsid w:val="00913F30"/>
    <w:rsid w:val="00917BC6"/>
    <w:rsid w:val="00924D48"/>
    <w:rsid w:val="009B6D77"/>
    <w:rsid w:val="009E36D5"/>
    <w:rsid w:val="009F3C7C"/>
    <w:rsid w:val="00A07A7C"/>
    <w:rsid w:val="00A47319"/>
    <w:rsid w:val="00A62D30"/>
    <w:rsid w:val="00AD2071"/>
    <w:rsid w:val="00B01EE4"/>
    <w:rsid w:val="00B077C6"/>
    <w:rsid w:val="00B10CFD"/>
    <w:rsid w:val="00B351C2"/>
    <w:rsid w:val="00B43245"/>
    <w:rsid w:val="00B93B11"/>
    <w:rsid w:val="00B94456"/>
    <w:rsid w:val="00B94AC4"/>
    <w:rsid w:val="00BA6E65"/>
    <w:rsid w:val="00C30EA0"/>
    <w:rsid w:val="00C45950"/>
    <w:rsid w:val="00C50409"/>
    <w:rsid w:val="00CB48EA"/>
    <w:rsid w:val="00CD2744"/>
    <w:rsid w:val="00CD58A4"/>
    <w:rsid w:val="00CD65C1"/>
    <w:rsid w:val="00D015CB"/>
    <w:rsid w:val="00D069F1"/>
    <w:rsid w:val="00D26E10"/>
    <w:rsid w:val="00DD685B"/>
    <w:rsid w:val="00DE0A31"/>
    <w:rsid w:val="00E0168F"/>
    <w:rsid w:val="00E3558C"/>
    <w:rsid w:val="00E4002A"/>
    <w:rsid w:val="00E67CA7"/>
    <w:rsid w:val="00E92D75"/>
    <w:rsid w:val="00EA43E1"/>
    <w:rsid w:val="00EA7325"/>
    <w:rsid w:val="00F03BC6"/>
    <w:rsid w:val="00F1458C"/>
    <w:rsid w:val="00F4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E6863"/>
  <w15:chartTrackingRefBased/>
  <w15:docId w15:val="{187D824A-1EE7-4133-8F37-FD0F597A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A7C"/>
    <w:rPr>
      <w:color w:val="0563C1" w:themeColor="hyperlink"/>
      <w:u w:val="single"/>
    </w:rPr>
  </w:style>
  <w:style w:type="character" w:styleId="UnresolvedMention">
    <w:name w:val="Unresolved Mention"/>
    <w:basedOn w:val="DefaultParagraphFont"/>
    <w:uiPriority w:val="99"/>
    <w:semiHidden/>
    <w:unhideWhenUsed/>
    <w:rsid w:val="00A07A7C"/>
    <w:rPr>
      <w:color w:val="605E5C"/>
      <w:shd w:val="clear" w:color="auto" w:fill="E1DFDD"/>
    </w:rPr>
  </w:style>
  <w:style w:type="paragraph" w:customStyle="1" w:styleId="TableParagraph">
    <w:name w:val="Table Paragraph"/>
    <w:basedOn w:val="Normal"/>
    <w:uiPriority w:val="1"/>
    <w:qFormat/>
    <w:rsid w:val="00756FB9"/>
    <w:pPr>
      <w:widowControl w:val="0"/>
      <w:autoSpaceDE w:val="0"/>
      <w:autoSpaceDN w:val="0"/>
      <w:spacing w:line="240" w:lineRule="auto"/>
    </w:pPr>
    <w:rPr>
      <w:rFonts w:ascii="Arial Narrow" w:eastAsia="Arial Narrow" w:hAnsi="Arial Narrow" w:cs="Arial Narrow"/>
      <w:sz w:val="22"/>
    </w:rPr>
  </w:style>
  <w:style w:type="paragraph" w:styleId="Header">
    <w:name w:val="header"/>
    <w:basedOn w:val="Normal"/>
    <w:link w:val="HeaderChar"/>
    <w:uiPriority w:val="99"/>
    <w:unhideWhenUsed/>
    <w:rsid w:val="00330BB2"/>
    <w:pPr>
      <w:tabs>
        <w:tab w:val="center" w:pos="4680"/>
        <w:tab w:val="right" w:pos="9360"/>
      </w:tabs>
      <w:spacing w:line="240" w:lineRule="auto"/>
    </w:pPr>
  </w:style>
  <w:style w:type="character" w:customStyle="1" w:styleId="HeaderChar">
    <w:name w:val="Header Char"/>
    <w:basedOn w:val="DefaultParagraphFont"/>
    <w:link w:val="Header"/>
    <w:uiPriority w:val="99"/>
    <w:rsid w:val="00330BB2"/>
  </w:style>
  <w:style w:type="paragraph" w:styleId="Footer">
    <w:name w:val="footer"/>
    <w:basedOn w:val="Normal"/>
    <w:link w:val="FooterChar"/>
    <w:uiPriority w:val="99"/>
    <w:unhideWhenUsed/>
    <w:rsid w:val="00330BB2"/>
    <w:pPr>
      <w:tabs>
        <w:tab w:val="center" w:pos="4680"/>
        <w:tab w:val="right" w:pos="9360"/>
      </w:tabs>
      <w:spacing w:line="240" w:lineRule="auto"/>
    </w:pPr>
  </w:style>
  <w:style w:type="character" w:customStyle="1" w:styleId="FooterChar">
    <w:name w:val="Footer Char"/>
    <w:basedOn w:val="DefaultParagraphFont"/>
    <w:link w:val="Footer"/>
    <w:uiPriority w:val="99"/>
    <w:rsid w:val="00330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0-6736(21)02143-7" TargetMode="External"/><Relationship Id="rId13" Type="http://schemas.openxmlformats.org/officeDocument/2006/relationships/hyperlink" Target="https://doi.org/10.1186/s13033-021-00502-x" TargetMode="External"/><Relationship Id="rId3" Type="http://schemas.openxmlformats.org/officeDocument/2006/relationships/settings" Target="settings.xml"/><Relationship Id="rId7" Type="http://schemas.openxmlformats.org/officeDocument/2006/relationships/hyperlink" Target="https://doi.org/10.1016/j.amsu.2021.102634" TargetMode="External"/><Relationship Id="rId12" Type="http://schemas.openxmlformats.org/officeDocument/2006/relationships/hyperlink" Target="https://doi.org/10.1186/s12916-019-1271-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3634523.2018.146598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S2215-0366(21)00395-3" TargetMode="External"/><Relationship Id="rId4" Type="http://schemas.openxmlformats.org/officeDocument/2006/relationships/webSettings" Target="webSettings.xml"/><Relationship Id="rId9" Type="http://schemas.openxmlformats.org/officeDocument/2006/relationships/hyperlink" Target="https://doi.org/10.3390/ijerph18031214" TargetMode="External"/><Relationship Id="rId14" Type="http://schemas.openxmlformats.org/officeDocument/2006/relationships/hyperlink" Target="https://www.who.int/news-room/fact-sheets/detail/mental-disor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11</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2023-03-23T00:40:00Z</dcterms:created>
  <dcterms:modified xsi:type="dcterms:W3CDTF">2023-03-23T02:55:00Z</dcterms:modified>
</cp:coreProperties>
</file>